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0"/>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0"/>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0"/>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0"/>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0"/>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0"/>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0"/>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0"/>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0"/>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0"/>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0"/>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28</w:t>
      </w:r>
      <w:r>
        <w:fldChar w:fldCharType="end"/>
      </w:r>
      <w:r>
        <w:fldChar w:fldCharType="end"/>
      </w:r>
    </w:p>
    <w:p>
      <w:pPr>
        <w:pStyle w:val="30"/>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28</w:t>
      </w:r>
      <w:r>
        <w:fldChar w:fldCharType="end"/>
      </w:r>
      <w:r>
        <w:fldChar w:fldCharType="end"/>
      </w:r>
    </w:p>
    <w:p>
      <w:pPr>
        <w:pStyle w:val="30"/>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28</w:t>
      </w:r>
      <w:r>
        <w:fldChar w:fldCharType="end"/>
      </w:r>
      <w:r>
        <w:fldChar w:fldCharType="end"/>
      </w:r>
    </w:p>
    <w:p>
      <w:pPr>
        <w:pStyle w:val="30"/>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29</w:t>
      </w:r>
      <w:r>
        <w:fldChar w:fldCharType="end"/>
      </w:r>
      <w: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3"/>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2"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6"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6" w:type="dxa"/>
            <w:vAlign w:val="center"/>
          </w:tcPr>
          <w:p>
            <w:pPr>
              <w:pStyle w:val="10"/>
            </w:pPr>
            <w:r>
              <w:t>一、一般公共预算拨款收入</w:t>
            </w:r>
          </w:p>
        </w:tc>
        <w:tc>
          <w:tcPr>
            <w:tcW w:w="2126" w:type="dxa"/>
            <w:vAlign w:val="center"/>
          </w:tcPr>
          <w:p>
            <w:pPr>
              <w:pStyle w:val="9"/>
            </w:pPr>
            <w:r>
              <w:t>182.70</w:t>
            </w:r>
          </w:p>
        </w:tc>
        <w:tc>
          <w:tcPr>
            <w:tcW w:w="4535" w:type="dxa"/>
            <w:vAlign w:val="center"/>
          </w:tcPr>
          <w:p>
            <w:pPr>
              <w:pStyle w:val="10"/>
            </w:pPr>
            <w:r>
              <w:t>一、一般公共服务支出</w:t>
            </w:r>
          </w:p>
        </w:tc>
        <w:tc>
          <w:tcPr>
            <w:tcW w:w="2126" w:type="dxa"/>
            <w:vAlign w:val="center"/>
          </w:tcPr>
          <w:p>
            <w:pPr>
              <w:pStyle w:val="9"/>
            </w:pPr>
            <w:r>
              <w:t>144.42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6"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6"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6"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6" w:type="dxa"/>
            <w:vAlign w:val="center"/>
          </w:tcPr>
          <w:p>
            <w:pPr>
              <w:pStyle w:val="10"/>
            </w:pPr>
            <w:r>
              <w:t>五、事业收入</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6" w:type="dxa"/>
            <w:vAlign w:val="center"/>
          </w:tcPr>
          <w:p>
            <w:pPr>
              <w:pStyle w:val="10"/>
            </w:pPr>
            <w:r>
              <w:t>六、事业单位经营收入</w:t>
            </w: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6" w:type="dxa"/>
            <w:vAlign w:val="center"/>
          </w:tcPr>
          <w:p>
            <w:pPr>
              <w:pStyle w:val="10"/>
            </w:pPr>
            <w:r>
              <w:t>七、上级补助收入</w:t>
            </w: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6" w:type="dxa"/>
            <w:vAlign w:val="center"/>
          </w:tcPr>
          <w:p>
            <w:pPr>
              <w:pStyle w:val="10"/>
            </w:pPr>
            <w:r>
              <w:t>八、附属单位上缴收入</w:t>
            </w: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18.04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6" w:type="dxa"/>
            <w:vAlign w:val="center"/>
          </w:tcPr>
          <w:p>
            <w:pPr>
              <w:pStyle w:val="10"/>
            </w:pPr>
            <w:r>
              <w:t>九、其他收入</w:t>
            </w: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12.41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三十一、人行科目</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6" w:type="dxa"/>
            <w:vAlign w:val="center"/>
          </w:tcPr>
          <w:p>
            <w:pPr>
              <w:pStyle w:val="12"/>
            </w:pPr>
            <w:r>
              <w:t>本年收入合计</w:t>
            </w:r>
          </w:p>
        </w:tc>
        <w:tc>
          <w:tcPr>
            <w:tcW w:w="2126" w:type="dxa"/>
            <w:vAlign w:val="center"/>
          </w:tcPr>
          <w:p>
            <w:pPr>
              <w:pStyle w:val="13"/>
            </w:pPr>
            <w:r>
              <w:t>182.70</w:t>
            </w:r>
          </w:p>
        </w:tc>
        <w:tc>
          <w:tcPr>
            <w:tcW w:w="4535" w:type="dxa"/>
            <w:vAlign w:val="center"/>
          </w:tcPr>
          <w:p>
            <w:pPr>
              <w:pStyle w:val="12"/>
            </w:pPr>
            <w:r>
              <w:t>本年支出合计</w:t>
            </w:r>
          </w:p>
        </w:tc>
        <w:tc>
          <w:tcPr>
            <w:tcW w:w="2126" w:type="dxa"/>
            <w:vAlign w:val="center"/>
          </w:tcPr>
          <w:p>
            <w:pPr>
              <w:pStyle w:val="13"/>
            </w:pPr>
            <w:r>
              <w:t>182.70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6"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6" w:type="dxa"/>
            <w:vAlign w:val="center"/>
          </w:tcPr>
          <w:p>
            <w:pPr>
              <w:pStyle w:val="12"/>
            </w:pPr>
            <w:r>
              <w:t>收入总计</w:t>
            </w:r>
          </w:p>
        </w:tc>
        <w:tc>
          <w:tcPr>
            <w:tcW w:w="2126" w:type="dxa"/>
            <w:vAlign w:val="center"/>
          </w:tcPr>
          <w:p>
            <w:pPr>
              <w:pStyle w:val="13"/>
            </w:pPr>
            <w:r>
              <w:t>182.70</w:t>
            </w:r>
          </w:p>
        </w:tc>
        <w:tc>
          <w:tcPr>
            <w:tcW w:w="4535" w:type="dxa"/>
            <w:vAlign w:val="center"/>
          </w:tcPr>
          <w:p>
            <w:pPr>
              <w:pStyle w:val="12"/>
            </w:pPr>
            <w:r>
              <w:t>支出总计</w:t>
            </w:r>
          </w:p>
        </w:tc>
        <w:tc>
          <w:tcPr>
            <w:tcW w:w="2126" w:type="dxa"/>
            <w:vAlign w:val="center"/>
          </w:tcPr>
          <w:p>
            <w:pPr>
              <w:pStyle w:val="13"/>
            </w:pPr>
            <w:r>
              <w:t>182.70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3"/>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2"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182.70</w:t>
            </w:r>
          </w:p>
        </w:tc>
        <w:tc>
          <w:tcPr>
            <w:tcW w:w="1134" w:type="dxa"/>
            <w:vAlign w:val="center"/>
          </w:tcPr>
          <w:p>
            <w:pPr>
              <w:pStyle w:val="13"/>
            </w:pPr>
            <w:r>
              <w:t>182.70</w:t>
            </w:r>
          </w:p>
        </w:tc>
        <w:tc>
          <w:tcPr>
            <w:tcW w:w="1134" w:type="dxa"/>
            <w:vAlign w:val="center"/>
          </w:tcPr>
          <w:p>
            <w:pPr>
              <w:pStyle w:val="13"/>
            </w:pPr>
            <w:r>
              <w:t>182.70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9"/>
            </w:pPr>
            <w:r>
              <w:t>144.42</w:t>
            </w:r>
          </w:p>
        </w:tc>
        <w:tc>
          <w:tcPr>
            <w:tcW w:w="1134" w:type="dxa"/>
            <w:vAlign w:val="center"/>
          </w:tcPr>
          <w:p>
            <w:pPr>
              <w:pStyle w:val="9"/>
            </w:pPr>
            <w:r>
              <w:t>144.42</w:t>
            </w:r>
          </w:p>
        </w:tc>
        <w:tc>
          <w:tcPr>
            <w:tcW w:w="1134" w:type="dxa"/>
            <w:vAlign w:val="center"/>
          </w:tcPr>
          <w:p>
            <w:pPr>
              <w:pStyle w:val="9"/>
            </w:pPr>
            <w:r>
              <w:t>144.42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20132</w:t>
            </w:r>
          </w:p>
        </w:tc>
        <w:tc>
          <w:tcPr>
            <w:tcW w:w="1559" w:type="dxa"/>
            <w:vAlign w:val="center"/>
          </w:tcPr>
          <w:p>
            <w:pPr>
              <w:pStyle w:val="10"/>
            </w:pPr>
            <w:r>
              <w:t>组织事务</w:t>
            </w:r>
          </w:p>
        </w:tc>
        <w:tc>
          <w:tcPr>
            <w:tcW w:w="1134" w:type="dxa"/>
            <w:vAlign w:val="center"/>
          </w:tcPr>
          <w:p>
            <w:pPr>
              <w:pStyle w:val="9"/>
            </w:pPr>
            <w:r>
              <w:t>144.42</w:t>
            </w:r>
          </w:p>
        </w:tc>
        <w:tc>
          <w:tcPr>
            <w:tcW w:w="1134" w:type="dxa"/>
            <w:vAlign w:val="center"/>
          </w:tcPr>
          <w:p>
            <w:pPr>
              <w:pStyle w:val="9"/>
            </w:pPr>
            <w:r>
              <w:t>144.42</w:t>
            </w:r>
          </w:p>
        </w:tc>
        <w:tc>
          <w:tcPr>
            <w:tcW w:w="1134" w:type="dxa"/>
            <w:vAlign w:val="center"/>
          </w:tcPr>
          <w:p>
            <w:pPr>
              <w:pStyle w:val="9"/>
            </w:pPr>
            <w:r>
              <w:t>144.42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2013201</w:t>
            </w:r>
          </w:p>
        </w:tc>
        <w:tc>
          <w:tcPr>
            <w:tcW w:w="1559" w:type="dxa"/>
            <w:vAlign w:val="center"/>
          </w:tcPr>
          <w:p>
            <w:pPr>
              <w:pStyle w:val="10"/>
            </w:pPr>
            <w:r>
              <w:t>行政运行</w:t>
            </w:r>
          </w:p>
        </w:tc>
        <w:tc>
          <w:tcPr>
            <w:tcW w:w="1134" w:type="dxa"/>
            <w:vAlign w:val="center"/>
          </w:tcPr>
          <w:p>
            <w:pPr>
              <w:pStyle w:val="9"/>
            </w:pPr>
            <w:r>
              <w:t>123.62</w:t>
            </w:r>
          </w:p>
        </w:tc>
        <w:tc>
          <w:tcPr>
            <w:tcW w:w="1134" w:type="dxa"/>
            <w:vAlign w:val="center"/>
          </w:tcPr>
          <w:p>
            <w:pPr>
              <w:pStyle w:val="9"/>
            </w:pPr>
            <w:r>
              <w:t>123.62</w:t>
            </w:r>
          </w:p>
        </w:tc>
        <w:tc>
          <w:tcPr>
            <w:tcW w:w="1134" w:type="dxa"/>
            <w:vAlign w:val="center"/>
          </w:tcPr>
          <w:p>
            <w:pPr>
              <w:pStyle w:val="9"/>
            </w:pPr>
            <w:r>
              <w:t>123.62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2013299</w:t>
            </w:r>
          </w:p>
        </w:tc>
        <w:tc>
          <w:tcPr>
            <w:tcW w:w="1559" w:type="dxa"/>
            <w:vAlign w:val="center"/>
          </w:tcPr>
          <w:p>
            <w:pPr>
              <w:pStyle w:val="10"/>
            </w:pPr>
            <w:r>
              <w:t>其他组织事务支出</w:t>
            </w:r>
          </w:p>
        </w:tc>
        <w:tc>
          <w:tcPr>
            <w:tcW w:w="1134" w:type="dxa"/>
            <w:vAlign w:val="center"/>
          </w:tcPr>
          <w:p>
            <w:pPr>
              <w:pStyle w:val="9"/>
            </w:pPr>
            <w:r>
              <w:t>20.80</w:t>
            </w:r>
          </w:p>
        </w:tc>
        <w:tc>
          <w:tcPr>
            <w:tcW w:w="1134" w:type="dxa"/>
            <w:vAlign w:val="center"/>
          </w:tcPr>
          <w:p>
            <w:pPr>
              <w:pStyle w:val="9"/>
            </w:pPr>
            <w:r>
              <w:t>20.80</w:t>
            </w:r>
          </w:p>
        </w:tc>
        <w:tc>
          <w:tcPr>
            <w:tcW w:w="1134" w:type="dxa"/>
            <w:vAlign w:val="center"/>
          </w:tcPr>
          <w:p>
            <w:pPr>
              <w:pStyle w:val="9"/>
            </w:pPr>
            <w:r>
              <w:t>20.80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18.04</w:t>
            </w:r>
          </w:p>
        </w:tc>
        <w:tc>
          <w:tcPr>
            <w:tcW w:w="1134" w:type="dxa"/>
            <w:vAlign w:val="center"/>
          </w:tcPr>
          <w:p>
            <w:pPr>
              <w:pStyle w:val="9"/>
            </w:pPr>
            <w:r>
              <w:t>18.04</w:t>
            </w:r>
          </w:p>
        </w:tc>
        <w:tc>
          <w:tcPr>
            <w:tcW w:w="1134" w:type="dxa"/>
            <w:vAlign w:val="center"/>
          </w:tcPr>
          <w:p>
            <w:pPr>
              <w:pStyle w:val="9"/>
            </w:pPr>
            <w:r>
              <w:t>18.04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18.04</w:t>
            </w:r>
          </w:p>
        </w:tc>
        <w:tc>
          <w:tcPr>
            <w:tcW w:w="1134" w:type="dxa"/>
            <w:vAlign w:val="center"/>
          </w:tcPr>
          <w:p>
            <w:pPr>
              <w:pStyle w:val="9"/>
            </w:pPr>
            <w:r>
              <w:t>18.04</w:t>
            </w:r>
          </w:p>
        </w:tc>
        <w:tc>
          <w:tcPr>
            <w:tcW w:w="1134" w:type="dxa"/>
            <w:vAlign w:val="center"/>
          </w:tcPr>
          <w:p>
            <w:pPr>
              <w:pStyle w:val="9"/>
            </w:pPr>
            <w:r>
              <w:t>18.04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2.91</w:t>
            </w:r>
          </w:p>
        </w:tc>
        <w:tc>
          <w:tcPr>
            <w:tcW w:w="1134" w:type="dxa"/>
            <w:vAlign w:val="center"/>
          </w:tcPr>
          <w:p>
            <w:pPr>
              <w:pStyle w:val="9"/>
            </w:pPr>
            <w:r>
              <w:t>2.91</w:t>
            </w:r>
          </w:p>
        </w:tc>
        <w:tc>
          <w:tcPr>
            <w:tcW w:w="1134" w:type="dxa"/>
            <w:vAlign w:val="center"/>
          </w:tcPr>
          <w:p>
            <w:pPr>
              <w:pStyle w:val="9"/>
            </w:pPr>
            <w:r>
              <w:t>2.91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15.13</w:t>
            </w:r>
          </w:p>
        </w:tc>
        <w:tc>
          <w:tcPr>
            <w:tcW w:w="1134" w:type="dxa"/>
            <w:vAlign w:val="center"/>
          </w:tcPr>
          <w:p>
            <w:pPr>
              <w:pStyle w:val="9"/>
            </w:pPr>
            <w:r>
              <w:t>15.13</w:t>
            </w:r>
          </w:p>
        </w:tc>
        <w:tc>
          <w:tcPr>
            <w:tcW w:w="1134" w:type="dxa"/>
            <w:vAlign w:val="center"/>
          </w:tcPr>
          <w:p>
            <w:pPr>
              <w:pStyle w:val="9"/>
            </w:pPr>
            <w:r>
              <w:t>15.13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7.83</w:t>
            </w:r>
          </w:p>
        </w:tc>
        <w:tc>
          <w:tcPr>
            <w:tcW w:w="1134" w:type="dxa"/>
            <w:vAlign w:val="center"/>
          </w:tcPr>
          <w:p>
            <w:pPr>
              <w:pStyle w:val="9"/>
            </w:pPr>
            <w:r>
              <w:t>7.83</w:t>
            </w:r>
          </w:p>
        </w:tc>
        <w:tc>
          <w:tcPr>
            <w:tcW w:w="1134" w:type="dxa"/>
            <w:vAlign w:val="center"/>
          </w:tcPr>
          <w:p>
            <w:pPr>
              <w:pStyle w:val="9"/>
            </w:pPr>
            <w:r>
              <w:t>7.83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7.83</w:t>
            </w:r>
          </w:p>
        </w:tc>
        <w:tc>
          <w:tcPr>
            <w:tcW w:w="1134" w:type="dxa"/>
            <w:vAlign w:val="center"/>
          </w:tcPr>
          <w:p>
            <w:pPr>
              <w:pStyle w:val="9"/>
            </w:pPr>
            <w:r>
              <w:t>7.83</w:t>
            </w:r>
          </w:p>
        </w:tc>
        <w:tc>
          <w:tcPr>
            <w:tcW w:w="1134" w:type="dxa"/>
            <w:vAlign w:val="center"/>
          </w:tcPr>
          <w:p>
            <w:pPr>
              <w:pStyle w:val="9"/>
            </w:pPr>
            <w:r>
              <w:t>7.83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7.83</w:t>
            </w:r>
          </w:p>
        </w:tc>
        <w:tc>
          <w:tcPr>
            <w:tcW w:w="1134" w:type="dxa"/>
            <w:vAlign w:val="center"/>
          </w:tcPr>
          <w:p>
            <w:pPr>
              <w:pStyle w:val="9"/>
            </w:pPr>
            <w:r>
              <w:t>7.83</w:t>
            </w:r>
          </w:p>
        </w:tc>
        <w:tc>
          <w:tcPr>
            <w:tcW w:w="1134" w:type="dxa"/>
            <w:vAlign w:val="center"/>
          </w:tcPr>
          <w:p>
            <w:pPr>
              <w:pStyle w:val="9"/>
            </w:pPr>
            <w:r>
              <w:t>7.83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12.41</w:t>
            </w:r>
          </w:p>
        </w:tc>
        <w:tc>
          <w:tcPr>
            <w:tcW w:w="1134" w:type="dxa"/>
            <w:vAlign w:val="center"/>
          </w:tcPr>
          <w:p>
            <w:pPr>
              <w:pStyle w:val="9"/>
            </w:pPr>
            <w:r>
              <w:t>12.41</w:t>
            </w:r>
          </w:p>
        </w:tc>
        <w:tc>
          <w:tcPr>
            <w:tcW w:w="1134" w:type="dxa"/>
            <w:vAlign w:val="center"/>
          </w:tcPr>
          <w:p>
            <w:pPr>
              <w:pStyle w:val="9"/>
            </w:pPr>
            <w:r>
              <w:t>12.41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12.41</w:t>
            </w:r>
          </w:p>
        </w:tc>
        <w:tc>
          <w:tcPr>
            <w:tcW w:w="1134" w:type="dxa"/>
            <w:vAlign w:val="center"/>
          </w:tcPr>
          <w:p>
            <w:pPr>
              <w:pStyle w:val="9"/>
            </w:pPr>
            <w:r>
              <w:t>12.41</w:t>
            </w:r>
          </w:p>
        </w:tc>
        <w:tc>
          <w:tcPr>
            <w:tcW w:w="1134" w:type="dxa"/>
            <w:vAlign w:val="center"/>
          </w:tcPr>
          <w:p>
            <w:pPr>
              <w:pStyle w:val="9"/>
            </w:pPr>
            <w:r>
              <w:t>12.41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12.41</w:t>
            </w:r>
          </w:p>
        </w:tc>
        <w:tc>
          <w:tcPr>
            <w:tcW w:w="1134" w:type="dxa"/>
            <w:vAlign w:val="center"/>
          </w:tcPr>
          <w:p>
            <w:pPr>
              <w:pStyle w:val="9"/>
            </w:pPr>
            <w:r>
              <w:t>12.41</w:t>
            </w:r>
          </w:p>
        </w:tc>
        <w:tc>
          <w:tcPr>
            <w:tcW w:w="1134" w:type="dxa"/>
            <w:vAlign w:val="center"/>
          </w:tcPr>
          <w:p>
            <w:pPr>
              <w:pStyle w:val="9"/>
            </w:pPr>
            <w:r>
              <w:t>12.41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3"/>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2722"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6"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6"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6" w:type="dxa"/>
            <w:vAlign w:val="center"/>
          </w:tcPr>
          <w:p>
            <w:pPr>
              <w:pStyle w:val="12"/>
            </w:pPr>
            <w:r>
              <w:t>合计</w:t>
            </w:r>
          </w:p>
        </w:tc>
        <w:tc>
          <w:tcPr>
            <w:tcW w:w="1361" w:type="dxa"/>
            <w:vAlign w:val="center"/>
          </w:tcPr>
          <w:p>
            <w:pPr>
              <w:pStyle w:val="13"/>
            </w:pPr>
            <w:r>
              <w:t>182.70</w:t>
            </w:r>
          </w:p>
        </w:tc>
        <w:tc>
          <w:tcPr>
            <w:tcW w:w="1361" w:type="dxa"/>
            <w:vAlign w:val="center"/>
          </w:tcPr>
          <w:p>
            <w:pPr>
              <w:pStyle w:val="13"/>
            </w:pPr>
            <w:r>
              <w:t>161.90</w:t>
            </w:r>
          </w:p>
        </w:tc>
        <w:tc>
          <w:tcPr>
            <w:tcW w:w="1361" w:type="dxa"/>
            <w:vAlign w:val="center"/>
          </w:tcPr>
          <w:p>
            <w:pPr>
              <w:pStyle w:val="13"/>
            </w:pPr>
            <w:r>
              <w:t>20.80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201</w:t>
            </w:r>
          </w:p>
        </w:tc>
        <w:tc>
          <w:tcPr>
            <w:tcW w:w="4536" w:type="dxa"/>
            <w:vAlign w:val="center"/>
          </w:tcPr>
          <w:p>
            <w:pPr>
              <w:pStyle w:val="10"/>
            </w:pPr>
            <w:r>
              <w:t>一般公共服务支出</w:t>
            </w:r>
          </w:p>
        </w:tc>
        <w:tc>
          <w:tcPr>
            <w:tcW w:w="1361" w:type="dxa"/>
            <w:vAlign w:val="center"/>
          </w:tcPr>
          <w:p>
            <w:pPr>
              <w:pStyle w:val="9"/>
            </w:pPr>
            <w:r>
              <w:t>144.42</w:t>
            </w:r>
          </w:p>
        </w:tc>
        <w:tc>
          <w:tcPr>
            <w:tcW w:w="1361" w:type="dxa"/>
            <w:vAlign w:val="center"/>
          </w:tcPr>
          <w:p>
            <w:pPr>
              <w:pStyle w:val="9"/>
            </w:pPr>
            <w:r>
              <w:t>123.62</w:t>
            </w:r>
          </w:p>
        </w:tc>
        <w:tc>
          <w:tcPr>
            <w:tcW w:w="1361" w:type="dxa"/>
            <w:vAlign w:val="center"/>
          </w:tcPr>
          <w:p>
            <w:pPr>
              <w:pStyle w:val="9"/>
            </w:pPr>
            <w:r>
              <w:t>20.80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20132</w:t>
            </w:r>
          </w:p>
        </w:tc>
        <w:tc>
          <w:tcPr>
            <w:tcW w:w="4536" w:type="dxa"/>
            <w:vAlign w:val="center"/>
          </w:tcPr>
          <w:p>
            <w:pPr>
              <w:pStyle w:val="10"/>
            </w:pPr>
            <w:r>
              <w:t>组织事务</w:t>
            </w:r>
          </w:p>
        </w:tc>
        <w:tc>
          <w:tcPr>
            <w:tcW w:w="1361" w:type="dxa"/>
            <w:vAlign w:val="center"/>
          </w:tcPr>
          <w:p>
            <w:pPr>
              <w:pStyle w:val="9"/>
            </w:pPr>
            <w:r>
              <w:t>144.42</w:t>
            </w:r>
          </w:p>
        </w:tc>
        <w:tc>
          <w:tcPr>
            <w:tcW w:w="1361" w:type="dxa"/>
            <w:vAlign w:val="center"/>
          </w:tcPr>
          <w:p>
            <w:pPr>
              <w:pStyle w:val="9"/>
            </w:pPr>
            <w:r>
              <w:t>123.62</w:t>
            </w:r>
          </w:p>
        </w:tc>
        <w:tc>
          <w:tcPr>
            <w:tcW w:w="1361" w:type="dxa"/>
            <w:vAlign w:val="center"/>
          </w:tcPr>
          <w:p>
            <w:pPr>
              <w:pStyle w:val="9"/>
            </w:pPr>
            <w:r>
              <w:t>20.80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2013201</w:t>
            </w:r>
          </w:p>
        </w:tc>
        <w:tc>
          <w:tcPr>
            <w:tcW w:w="4536" w:type="dxa"/>
            <w:vAlign w:val="center"/>
          </w:tcPr>
          <w:p>
            <w:pPr>
              <w:pStyle w:val="10"/>
            </w:pPr>
            <w:r>
              <w:t>行政运行</w:t>
            </w:r>
          </w:p>
        </w:tc>
        <w:tc>
          <w:tcPr>
            <w:tcW w:w="1361" w:type="dxa"/>
            <w:vAlign w:val="center"/>
          </w:tcPr>
          <w:p>
            <w:pPr>
              <w:pStyle w:val="9"/>
            </w:pPr>
            <w:r>
              <w:t>123.62</w:t>
            </w:r>
          </w:p>
        </w:tc>
        <w:tc>
          <w:tcPr>
            <w:tcW w:w="1361" w:type="dxa"/>
            <w:vAlign w:val="center"/>
          </w:tcPr>
          <w:p>
            <w:pPr>
              <w:pStyle w:val="9"/>
            </w:pPr>
            <w:r>
              <w:t>123.62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2013299</w:t>
            </w:r>
          </w:p>
        </w:tc>
        <w:tc>
          <w:tcPr>
            <w:tcW w:w="4536" w:type="dxa"/>
            <w:vAlign w:val="center"/>
          </w:tcPr>
          <w:p>
            <w:pPr>
              <w:pStyle w:val="10"/>
            </w:pPr>
            <w:r>
              <w:t>其他组织事务支出</w:t>
            </w:r>
          </w:p>
        </w:tc>
        <w:tc>
          <w:tcPr>
            <w:tcW w:w="1361" w:type="dxa"/>
            <w:vAlign w:val="center"/>
          </w:tcPr>
          <w:p>
            <w:pPr>
              <w:pStyle w:val="9"/>
            </w:pPr>
            <w:r>
              <w:t>20.80</w:t>
            </w:r>
          </w:p>
        </w:tc>
        <w:tc>
          <w:tcPr>
            <w:tcW w:w="1361" w:type="dxa"/>
            <w:vAlign w:val="center"/>
          </w:tcPr>
          <w:p>
            <w:pPr>
              <w:pStyle w:val="9"/>
            </w:pPr>
          </w:p>
        </w:tc>
        <w:tc>
          <w:tcPr>
            <w:tcW w:w="1361" w:type="dxa"/>
            <w:vAlign w:val="center"/>
          </w:tcPr>
          <w:p>
            <w:pPr>
              <w:pStyle w:val="9"/>
            </w:pPr>
            <w:r>
              <w:t>20.80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208</w:t>
            </w:r>
          </w:p>
        </w:tc>
        <w:tc>
          <w:tcPr>
            <w:tcW w:w="4536" w:type="dxa"/>
            <w:vAlign w:val="center"/>
          </w:tcPr>
          <w:p>
            <w:pPr>
              <w:pStyle w:val="10"/>
            </w:pPr>
            <w:r>
              <w:t>社会保障和就业支出</w:t>
            </w:r>
          </w:p>
        </w:tc>
        <w:tc>
          <w:tcPr>
            <w:tcW w:w="1361" w:type="dxa"/>
            <w:vAlign w:val="center"/>
          </w:tcPr>
          <w:p>
            <w:pPr>
              <w:pStyle w:val="9"/>
            </w:pPr>
            <w:r>
              <w:t>18.04</w:t>
            </w:r>
          </w:p>
        </w:tc>
        <w:tc>
          <w:tcPr>
            <w:tcW w:w="1361" w:type="dxa"/>
            <w:vAlign w:val="center"/>
          </w:tcPr>
          <w:p>
            <w:pPr>
              <w:pStyle w:val="9"/>
            </w:pPr>
            <w:r>
              <w:t>18.04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20805</w:t>
            </w:r>
          </w:p>
        </w:tc>
        <w:tc>
          <w:tcPr>
            <w:tcW w:w="4536" w:type="dxa"/>
            <w:vAlign w:val="center"/>
          </w:tcPr>
          <w:p>
            <w:pPr>
              <w:pStyle w:val="10"/>
            </w:pPr>
            <w:r>
              <w:t>行政事业单位养老支出</w:t>
            </w:r>
          </w:p>
        </w:tc>
        <w:tc>
          <w:tcPr>
            <w:tcW w:w="1361" w:type="dxa"/>
            <w:vAlign w:val="center"/>
          </w:tcPr>
          <w:p>
            <w:pPr>
              <w:pStyle w:val="9"/>
            </w:pPr>
            <w:r>
              <w:t>18.04</w:t>
            </w:r>
          </w:p>
        </w:tc>
        <w:tc>
          <w:tcPr>
            <w:tcW w:w="1361" w:type="dxa"/>
            <w:vAlign w:val="center"/>
          </w:tcPr>
          <w:p>
            <w:pPr>
              <w:pStyle w:val="9"/>
            </w:pPr>
            <w:r>
              <w:t>18.04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2080501</w:t>
            </w:r>
          </w:p>
        </w:tc>
        <w:tc>
          <w:tcPr>
            <w:tcW w:w="4536" w:type="dxa"/>
            <w:vAlign w:val="center"/>
          </w:tcPr>
          <w:p>
            <w:pPr>
              <w:pStyle w:val="10"/>
            </w:pPr>
            <w:r>
              <w:t>行政单位离退休</w:t>
            </w:r>
          </w:p>
        </w:tc>
        <w:tc>
          <w:tcPr>
            <w:tcW w:w="1361" w:type="dxa"/>
            <w:vAlign w:val="center"/>
          </w:tcPr>
          <w:p>
            <w:pPr>
              <w:pStyle w:val="9"/>
            </w:pPr>
            <w:r>
              <w:t>2.91</w:t>
            </w:r>
          </w:p>
        </w:tc>
        <w:tc>
          <w:tcPr>
            <w:tcW w:w="1361" w:type="dxa"/>
            <w:vAlign w:val="center"/>
          </w:tcPr>
          <w:p>
            <w:pPr>
              <w:pStyle w:val="9"/>
            </w:pPr>
            <w:r>
              <w:t>2.91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2080505</w:t>
            </w:r>
          </w:p>
        </w:tc>
        <w:tc>
          <w:tcPr>
            <w:tcW w:w="4536" w:type="dxa"/>
            <w:vAlign w:val="center"/>
          </w:tcPr>
          <w:p>
            <w:pPr>
              <w:pStyle w:val="10"/>
            </w:pPr>
            <w:r>
              <w:t>机关事业单位基本养老保险缴费支出</w:t>
            </w:r>
          </w:p>
        </w:tc>
        <w:tc>
          <w:tcPr>
            <w:tcW w:w="1361" w:type="dxa"/>
            <w:vAlign w:val="center"/>
          </w:tcPr>
          <w:p>
            <w:pPr>
              <w:pStyle w:val="9"/>
            </w:pPr>
            <w:r>
              <w:t>15.13</w:t>
            </w:r>
          </w:p>
        </w:tc>
        <w:tc>
          <w:tcPr>
            <w:tcW w:w="1361" w:type="dxa"/>
            <w:vAlign w:val="center"/>
          </w:tcPr>
          <w:p>
            <w:pPr>
              <w:pStyle w:val="9"/>
            </w:pPr>
            <w:r>
              <w:t>15.13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210</w:t>
            </w:r>
          </w:p>
        </w:tc>
        <w:tc>
          <w:tcPr>
            <w:tcW w:w="4536" w:type="dxa"/>
            <w:vAlign w:val="center"/>
          </w:tcPr>
          <w:p>
            <w:pPr>
              <w:pStyle w:val="10"/>
            </w:pPr>
            <w:r>
              <w:t>卫生健康支出</w:t>
            </w:r>
          </w:p>
        </w:tc>
        <w:tc>
          <w:tcPr>
            <w:tcW w:w="1361" w:type="dxa"/>
            <w:vAlign w:val="center"/>
          </w:tcPr>
          <w:p>
            <w:pPr>
              <w:pStyle w:val="9"/>
            </w:pPr>
            <w:r>
              <w:t>7.83</w:t>
            </w:r>
          </w:p>
        </w:tc>
        <w:tc>
          <w:tcPr>
            <w:tcW w:w="1361" w:type="dxa"/>
            <w:vAlign w:val="center"/>
          </w:tcPr>
          <w:p>
            <w:pPr>
              <w:pStyle w:val="9"/>
            </w:pPr>
            <w:r>
              <w:t>7.83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21011</w:t>
            </w:r>
          </w:p>
        </w:tc>
        <w:tc>
          <w:tcPr>
            <w:tcW w:w="4536" w:type="dxa"/>
            <w:vAlign w:val="center"/>
          </w:tcPr>
          <w:p>
            <w:pPr>
              <w:pStyle w:val="10"/>
            </w:pPr>
            <w:r>
              <w:t>行政事业单位医疗</w:t>
            </w:r>
          </w:p>
        </w:tc>
        <w:tc>
          <w:tcPr>
            <w:tcW w:w="1361" w:type="dxa"/>
            <w:vAlign w:val="center"/>
          </w:tcPr>
          <w:p>
            <w:pPr>
              <w:pStyle w:val="9"/>
            </w:pPr>
            <w:r>
              <w:t>7.83</w:t>
            </w:r>
          </w:p>
        </w:tc>
        <w:tc>
          <w:tcPr>
            <w:tcW w:w="1361" w:type="dxa"/>
            <w:vAlign w:val="center"/>
          </w:tcPr>
          <w:p>
            <w:pPr>
              <w:pStyle w:val="9"/>
            </w:pPr>
            <w:r>
              <w:t>7.83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2101101</w:t>
            </w:r>
          </w:p>
        </w:tc>
        <w:tc>
          <w:tcPr>
            <w:tcW w:w="4536" w:type="dxa"/>
            <w:vAlign w:val="center"/>
          </w:tcPr>
          <w:p>
            <w:pPr>
              <w:pStyle w:val="10"/>
            </w:pPr>
            <w:r>
              <w:t>行政单位医疗</w:t>
            </w:r>
          </w:p>
        </w:tc>
        <w:tc>
          <w:tcPr>
            <w:tcW w:w="1361" w:type="dxa"/>
            <w:vAlign w:val="center"/>
          </w:tcPr>
          <w:p>
            <w:pPr>
              <w:pStyle w:val="9"/>
            </w:pPr>
            <w:r>
              <w:t>7.83</w:t>
            </w:r>
          </w:p>
        </w:tc>
        <w:tc>
          <w:tcPr>
            <w:tcW w:w="1361" w:type="dxa"/>
            <w:vAlign w:val="center"/>
          </w:tcPr>
          <w:p>
            <w:pPr>
              <w:pStyle w:val="9"/>
            </w:pPr>
            <w:r>
              <w:t>7.83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221</w:t>
            </w:r>
          </w:p>
        </w:tc>
        <w:tc>
          <w:tcPr>
            <w:tcW w:w="4536" w:type="dxa"/>
            <w:vAlign w:val="center"/>
          </w:tcPr>
          <w:p>
            <w:pPr>
              <w:pStyle w:val="10"/>
            </w:pPr>
            <w:r>
              <w:t>住房保障支出</w:t>
            </w:r>
          </w:p>
        </w:tc>
        <w:tc>
          <w:tcPr>
            <w:tcW w:w="1361" w:type="dxa"/>
            <w:vAlign w:val="center"/>
          </w:tcPr>
          <w:p>
            <w:pPr>
              <w:pStyle w:val="9"/>
            </w:pPr>
            <w:r>
              <w:t>12.41</w:t>
            </w:r>
          </w:p>
        </w:tc>
        <w:tc>
          <w:tcPr>
            <w:tcW w:w="1361" w:type="dxa"/>
            <w:vAlign w:val="center"/>
          </w:tcPr>
          <w:p>
            <w:pPr>
              <w:pStyle w:val="9"/>
            </w:pPr>
            <w:r>
              <w:t>12.41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22102</w:t>
            </w:r>
          </w:p>
        </w:tc>
        <w:tc>
          <w:tcPr>
            <w:tcW w:w="4536" w:type="dxa"/>
            <w:vAlign w:val="center"/>
          </w:tcPr>
          <w:p>
            <w:pPr>
              <w:pStyle w:val="10"/>
            </w:pPr>
            <w:r>
              <w:t>住房改革支出</w:t>
            </w:r>
          </w:p>
        </w:tc>
        <w:tc>
          <w:tcPr>
            <w:tcW w:w="1361" w:type="dxa"/>
            <w:vAlign w:val="center"/>
          </w:tcPr>
          <w:p>
            <w:pPr>
              <w:pStyle w:val="9"/>
            </w:pPr>
            <w:r>
              <w:t>12.41</w:t>
            </w:r>
          </w:p>
        </w:tc>
        <w:tc>
          <w:tcPr>
            <w:tcW w:w="1361" w:type="dxa"/>
            <w:vAlign w:val="center"/>
          </w:tcPr>
          <w:p>
            <w:pPr>
              <w:pStyle w:val="9"/>
            </w:pPr>
            <w:r>
              <w:t>12.41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2210201</w:t>
            </w:r>
          </w:p>
        </w:tc>
        <w:tc>
          <w:tcPr>
            <w:tcW w:w="4536" w:type="dxa"/>
            <w:vAlign w:val="center"/>
          </w:tcPr>
          <w:p>
            <w:pPr>
              <w:pStyle w:val="10"/>
            </w:pPr>
            <w:r>
              <w:t>住房公积金</w:t>
            </w:r>
          </w:p>
        </w:tc>
        <w:tc>
          <w:tcPr>
            <w:tcW w:w="1361" w:type="dxa"/>
            <w:vAlign w:val="center"/>
          </w:tcPr>
          <w:p>
            <w:pPr>
              <w:pStyle w:val="9"/>
            </w:pPr>
            <w:r>
              <w:t>12.41</w:t>
            </w:r>
          </w:p>
        </w:tc>
        <w:tc>
          <w:tcPr>
            <w:tcW w:w="1361" w:type="dxa"/>
            <w:vAlign w:val="center"/>
          </w:tcPr>
          <w:p>
            <w:pPr>
              <w:pStyle w:val="9"/>
            </w:pPr>
            <w:r>
              <w:t>12.41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3"/>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182.70</w:t>
            </w:r>
          </w:p>
        </w:tc>
        <w:tc>
          <w:tcPr>
            <w:tcW w:w="3402" w:type="dxa"/>
            <w:vAlign w:val="center"/>
          </w:tcPr>
          <w:p>
            <w:pPr>
              <w:pStyle w:val="10"/>
            </w:pPr>
            <w:r>
              <w:t>一、一般公共服务支出</w:t>
            </w:r>
          </w:p>
        </w:tc>
        <w:tc>
          <w:tcPr>
            <w:tcW w:w="1474" w:type="dxa"/>
            <w:vAlign w:val="center"/>
          </w:tcPr>
          <w:p>
            <w:pPr>
              <w:pStyle w:val="9"/>
            </w:pPr>
            <w:r>
              <w:t>144.42</w:t>
            </w:r>
          </w:p>
        </w:tc>
        <w:tc>
          <w:tcPr>
            <w:tcW w:w="1474" w:type="dxa"/>
            <w:vAlign w:val="center"/>
          </w:tcPr>
          <w:p>
            <w:pPr>
              <w:pStyle w:val="9"/>
            </w:pPr>
            <w:r>
              <w:t>144.42</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18.04</w:t>
            </w:r>
          </w:p>
        </w:tc>
        <w:tc>
          <w:tcPr>
            <w:tcW w:w="1474" w:type="dxa"/>
            <w:vAlign w:val="center"/>
          </w:tcPr>
          <w:p>
            <w:pPr>
              <w:pStyle w:val="9"/>
            </w:pPr>
            <w:r>
              <w:t>18.04</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7.83</w:t>
            </w:r>
          </w:p>
        </w:tc>
        <w:tc>
          <w:tcPr>
            <w:tcW w:w="1474" w:type="dxa"/>
            <w:vAlign w:val="center"/>
          </w:tcPr>
          <w:p>
            <w:pPr>
              <w:pStyle w:val="9"/>
            </w:pPr>
            <w:r>
              <w:t>7.83</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12.41</w:t>
            </w:r>
          </w:p>
        </w:tc>
        <w:tc>
          <w:tcPr>
            <w:tcW w:w="1474" w:type="dxa"/>
            <w:vAlign w:val="center"/>
          </w:tcPr>
          <w:p>
            <w:pPr>
              <w:pStyle w:val="9"/>
            </w:pPr>
            <w:r>
              <w:t>12.41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三十一、人行科目</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182.70</w:t>
            </w:r>
          </w:p>
        </w:tc>
        <w:tc>
          <w:tcPr>
            <w:tcW w:w="3402" w:type="dxa"/>
            <w:vAlign w:val="center"/>
          </w:tcPr>
          <w:p>
            <w:pPr>
              <w:pStyle w:val="12"/>
            </w:pPr>
            <w:r>
              <w:t>本年支出合计</w:t>
            </w:r>
          </w:p>
        </w:tc>
        <w:tc>
          <w:tcPr>
            <w:tcW w:w="1474" w:type="dxa"/>
            <w:vAlign w:val="center"/>
          </w:tcPr>
          <w:p>
            <w:pPr>
              <w:pStyle w:val="13"/>
            </w:pPr>
            <w:r>
              <w:t>182.70</w:t>
            </w:r>
          </w:p>
        </w:tc>
        <w:tc>
          <w:tcPr>
            <w:tcW w:w="1474" w:type="dxa"/>
            <w:vAlign w:val="center"/>
          </w:tcPr>
          <w:p>
            <w:pPr>
              <w:pStyle w:val="13"/>
            </w:pPr>
            <w:r>
              <w:t>182.70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182.70</w:t>
            </w:r>
          </w:p>
        </w:tc>
        <w:tc>
          <w:tcPr>
            <w:tcW w:w="3402" w:type="dxa"/>
            <w:vAlign w:val="center"/>
          </w:tcPr>
          <w:p>
            <w:pPr>
              <w:pStyle w:val="12"/>
            </w:pPr>
            <w:r>
              <w:t>支出总计</w:t>
            </w:r>
          </w:p>
        </w:tc>
        <w:tc>
          <w:tcPr>
            <w:tcW w:w="1474" w:type="dxa"/>
            <w:vAlign w:val="center"/>
          </w:tcPr>
          <w:p>
            <w:pPr>
              <w:pStyle w:val="13"/>
            </w:pPr>
            <w:r>
              <w:t>182.70</w:t>
            </w:r>
          </w:p>
        </w:tc>
        <w:tc>
          <w:tcPr>
            <w:tcW w:w="1474" w:type="dxa"/>
            <w:vAlign w:val="center"/>
          </w:tcPr>
          <w:p>
            <w:pPr>
              <w:pStyle w:val="13"/>
            </w:pPr>
            <w:r>
              <w:t>182.70</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3"/>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182.70</w:t>
            </w:r>
          </w:p>
        </w:tc>
        <w:tc>
          <w:tcPr>
            <w:tcW w:w="2551" w:type="dxa"/>
            <w:vAlign w:val="center"/>
          </w:tcPr>
          <w:p>
            <w:pPr>
              <w:pStyle w:val="13"/>
            </w:pPr>
            <w:r>
              <w:t>161.90</w:t>
            </w:r>
          </w:p>
        </w:tc>
        <w:tc>
          <w:tcPr>
            <w:tcW w:w="2551" w:type="dxa"/>
            <w:vAlign w:val="center"/>
          </w:tcPr>
          <w:p>
            <w:pPr>
              <w:pStyle w:val="13"/>
            </w:pPr>
            <w:r>
              <w:t>20.80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9"/>
            </w:pPr>
            <w:r>
              <w:t>144.42</w:t>
            </w:r>
          </w:p>
        </w:tc>
        <w:tc>
          <w:tcPr>
            <w:tcW w:w="2551" w:type="dxa"/>
            <w:vAlign w:val="center"/>
          </w:tcPr>
          <w:p>
            <w:pPr>
              <w:pStyle w:val="9"/>
            </w:pPr>
            <w:r>
              <w:t>123.62</w:t>
            </w:r>
          </w:p>
        </w:tc>
        <w:tc>
          <w:tcPr>
            <w:tcW w:w="2551" w:type="dxa"/>
            <w:vAlign w:val="center"/>
          </w:tcPr>
          <w:p>
            <w:pPr>
              <w:pStyle w:val="9"/>
            </w:pPr>
            <w:r>
              <w:t>20.80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20132</w:t>
            </w:r>
          </w:p>
        </w:tc>
        <w:tc>
          <w:tcPr>
            <w:tcW w:w="4535" w:type="dxa"/>
            <w:vAlign w:val="center"/>
          </w:tcPr>
          <w:p>
            <w:pPr>
              <w:pStyle w:val="10"/>
            </w:pPr>
            <w:r>
              <w:t>组织事务</w:t>
            </w:r>
          </w:p>
        </w:tc>
        <w:tc>
          <w:tcPr>
            <w:tcW w:w="2551" w:type="dxa"/>
            <w:vAlign w:val="center"/>
          </w:tcPr>
          <w:p>
            <w:pPr>
              <w:pStyle w:val="9"/>
            </w:pPr>
            <w:r>
              <w:t>144.42</w:t>
            </w:r>
          </w:p>
        </w:tc>
        <w:tc>
          <w:tcPr>
            <w:tcW w:w="2551" w:type="dxa"/>
            <w:vAlign w:val="center"/>
          </w:tcPr>
          <w:p>
            <w:pPr>
              <w:pStyle w:val="9"/>
            </w:pPr>
            <w:r>
              <w:t>123.62</w:t>
            </w:r>
          </w:p>
        </w:tc>
        <w:tc>
          <w:tcPr>
            <w:tcW w:w="2551" w:type="dxa"/>
            <w:vAlign w:val="center"/>
          </w:tcPr>
          <w:p>
            <w:pPr>
              <w:pStyle w:val="9"/>
            </w:pPr>
            <w:r>
              <w:t>20.80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2013201</w:t>
            </w:r>
          </w:p>
        </w:tc>
        <w:tc>
          <w:tcPr>
            <w:tcW w:w="4535" w:type="dxa"/>
            <w:vAlign w:val="center"/>
          </w:tcPr>
          <w:p>
            <w:pPr>
              <w:pStyle w:val="10"/>
            </w:pPr>
            <w:r>
              <w:t>行政运行</w:t>
            </w:r>
          </w:p>
        </w:tc>
        <w:tc>
          <w:tcPr>
            <w:tcW w:w="2551" w:type="dxa"/>
            <w:vAlign w:val="center"/>
          </w:tcPr>
          <w:p>
            <w:pPr>
              <w:pStyle w:val="9"/>
            </w:pPr>
            <w:r>
              <w:t>123.62</w:t>
            </w:r>
          </w:p>
        </w:tc>
        <w:tc>
          <w:tcPr>
            <w:tcW w:w="2551" w:type="dxa"/>
            <w:vAlign w:val="center"/>
          </w:tcPr>
          <w:p>
            <w:pPr>
              <w:pStyle w:val="9"/>
            </w:pPr>
            <w:r>
              <w:t>123.62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2013299</w:t>
            </w:r>
          </w:p>
        </w:tc>
        <w:tc>
          <w:tcPr>
            <w:tcW w:w="4535" w:type="dxa"/>
            <w:vAlign w:val="center"/>
          </w:tcPr>
          <w:p>
            <w:pPr>
              <w:pStyle w:val="10"/>
            </w:pPr>
            <w:r>
              <w:t>其他组织事务支出</w:t>
            </w:r>
          </w:p>
        </w:tc>
        <w:tc>
          <w:tcPr>
            <w:tcW w:w="2551" w:type="dxa"/>
            <w:vAlign w:val="center"/>
          </w:tcPr>
          <w:p>
            <w:pPr>
              <w:pStyle w:val="9"/>
            </w:pPr>
            <w:r>
              <w:t>20.80</w:t>
            </w:r>
          </w:p>
        </w:tc>
        <w:tc>
          <w:tcPr>
            <w:tcW w:w="2551" w:type="dxa"/>
            <w:vAlign w:val="center"/>
          </w:tcPr>
          <w:p>
            <w:pPr>
              <w:pStyle w:val="9"/>
            </w:pPr>
          </w:p>
        </w:tc>
        <w:tc>
          <w:tcPr>
            <w:tcW w:w="2551" w:type="dxa"/>
            <w:vAlign w:val="center"/>
          </w:tcPr>
          <w:p>
            <w:pPr>
              <w:pStyle w:val="9"/>
            </w:pPr>
            <w:r>
              <w:t>20.80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18.04</w:t>
            </w:r>
          </w:p>
        </w:tc>
        <w:tc>
          <w:tcPr>
            <w:tcW w:w="2551" w:type="dxa"/>
            <w:vAlign w:val="center"/>
          </w:tcPr>
          <w:p>
            <w:pPr>
              <w:pStyle w:val="9"/>
            </w:pPr>
            <w:r>
              <w:t>18.04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18.04</w:t>
            </w:r>
          </w:p>
        </w:tc>
        <w:tc>
          <w:tcPr>
            <w:tcW w:w="2551" w:type="dxa"/>
            <w:vAlign w:val="center"/>
          </w:tcPr>
          <w:p>
            <w:pPr>
              <w:pStyle w:val="9"/>
            </w:pPr>
            <w:r>
              <w:t>18.04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2.91</w:t>
            </w:r>
          </w:p>
        </w:tc>
        <w:tc>
          <w:tcPr>
            <w:tcW w:w="2551" w:type="dxa"/>
            <w:vAlign w:val="center"/>
          </w:tcPr>
          <w:p>
            <w:pPr>
              <w:pStyle w:val="9"/>
            </w:pPr>
            <w:r>
              <w:t>2.91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15.13</w:t>
            </w:r>
          </w:p>
        </w:tc>
        <w:tc>
          <w:tcPr>
            <w:tcW w:w="2551" w:type="dxa"/>
            <w:vAlign w:val="center"/>
          </w:tcPr>
          <w:p>
            <w:pPr>
              <w:pStyle w:val="9"/>
            </w:pPr>
            <w:r>
              <w:t>15.13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7.83</w:t>
            </w:r>
          </w:p>
        </w:tc>
        <w:tc>
          <w:tcPr>
            <w:tcW w:w="2551" w:type="dxa"/>
            <w:vAlign w:val="center"/>
          </w:tcPr>
          <w:p>
            <w:pPr>
              <w:pStyle w:val="9"/>
            </w:pPr>
            <w:r>
              <w:t>7.83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7.83</w:t>
            </w:r>
          </w:p>
        </w:tc>
        <w:tc>
          <w:tcPr>
            <w:tcW w:w="2551" w:type="dxa"/>
            <w:vAlign w:val="center"/>
          </w:tcPr>
          <w:p>
            <w:pPr>
              <w:pStyle w:val="9"/>
            </w:pPr>
            <w:r>
              <w:t>7.83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7.83</w:t>
            </w:r>
          </w:p>
        </w:tc>
        <w:tc>
          <w:tcPr>
            <w:tcW w:w="2551" w:type="dxa"/>
            <w:vAlign w:val="center"/>
          </w:tcPr>
          <w:p>
            <w:pPr>
              <w:pStyle w:val="9"/>
            </w:pPr>
            <w:r>
              <w:t>7.83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12.41</w:t>
            </w:r>
          </w:p>
        </w:tc>
        <w:tc>
          <w:tcPr>
            <w:tcW w:w="2551" w:type="dxa"/>
            <w:vAlign w:val="center"/>
          </w:tcPr>
          <w:p>
            <w:pPr>
              <w:pStyle w:val="9"/>
            </w:pPr>
            <w:r>
              <w:t>12.41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12.41</w:t>
            </w:r>
          </w:p>
        </w:tc>
        <w:tc>
          <w:tcPr>
            <w:tcW w:w="2551" w:type="dxa"/>
            <w:vAlign w:val="center"/>
          </w:tcPr>
          <w:p>
            <w:pPr>
              <w:pStyle w:val="9"/>
            </w:pPr>
            <w:r>
              <w:t>12.41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12.41</w:t>
            </w:r>
          </w:p>
        </w:tc>
        <w:tc>
          <w:tcPr>
            <w:tcW w:w="2551" w:type="dxa"/>
            <w:vAlign w:val="center"/>
          </w:tcPr>
          <w:p>
            <w:pPr>
              <w:pStyle w:val="9"/>
            </w:pPr>
            <w:r>
              <w:t>12.41</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3"/>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2"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2"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161.90</w:t>
            </w:r>
          </w:p>
        </w:tc>
        <w:tc>
          <w:tcPr>
            <w:tcW w:w="2551" w:type="dxa"/>
            <w:vAlign w:val="center"/>
          </w:tcPr>
          <w:p>
            <w:pPr>
              <w:pStyle w:val="13"/>
            </w:pPr>
            <w:r>
              <w:t>148.45</w:t>
            </w:r>
          </w:p>
        </w:tc>
        <w:tc>
          <w:tcPr>
            <w:tcW w:w="2552" w:type="dxa"/>
            <w:vAlign w:val="center"/>
          </w:tcPr>
          <w:p>
            <w:pPr>
              <w:pStyle w:val="13"/>
            </w:pPr>
            <w:r>
              <w:t>13.45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145.72</w:t>
            </w:r>
          </w:p>
        </w:tc>
        <w:tc>
          <w:tcPr>
            <w:tcW w:w="2551" w:type="dxa"/>
            <w:vAlign w:val="center"/>
          </w:tcPr>
          <w:p>
            <w:pPr>
              <w:pStyle w:val="9"/>
            </w:pPr>
            <w:r>
              <w:t>145.72</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59.49</w:t>
            </w:r>
          </w:p>
        </w:tc>
        <w:tc>
          <w:tcPr>
            <w:tcW w:w="2551" w:type="dxa"/>
            <w:vAlign w:val="center"/>
          </w:tcPr>
          <w:p>
            <w:pPr>
              <w:pStyle w:val="9"/>
            </w:pPr>
            <w:r>
              <w:t>59.49</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16.37</w:t>
            </w:r>
          </w:p>
        </w:tc>
        <w:tc>
          <w:tcPr>
            <w:tcW w:w="2551" w:type="dxa"/>
            <w:vAlign w:val="center"/>
          </w:tcPr>
          <w:p>
            <w:pPr>
              <w:pStyle w:val="9"/>
            </w:pPr>
            <w:r>
              <w:t>16.37</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10.27</w:t>
            </w:r>
          </w:p>
        </w:tc>
        <w:tc>
          <w:tcPr>
            <w:tcW w:w="2551" w:type="dxa"/>
            <w:vAlign w:val="center"/>
          </w:tcPr>
          <w:p>
            <w:pPr>
              <w:pStyle w:val="9"/>
            </w:pPr>
            <w:r>
              <w:t>10.27</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23.86</w:t>
            </w:r>
          </w:p>
        </w:tc>
        <w:tc>
          <w:tcPr>
            <w:tcW w:w="2551" w:type="dxa"/>
            <w:vAlign w:val="center"/>
          </w:tcPr>
          <w:p>
            <w:pPr>
              <w:pStyle w:val="9"/>
            </w:pPr>
            <w:r>
              <w:t>23.86</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15.13</w:t>
            </w:r>
          </w:p>
        </w:tc>
        <w:tc>
          <w:tcPr>
            <w:tcW w:w="2551" w:type="dxa"/>
            <w:vAlign w:val="center"/>
          </w:tcPr>
          <w:p>
            <w:pPr>
              <w:pStyle w:val="9"/>
            </w:pPr>
            <w:r>
              <w:t>15.13</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7.83</w:t>
            </w:r>
          </w:p>
        </w:tc>
        <w:tc>
          <w:tcPr>
            <w:tcW w:w="2551" w:type="dxa"/>
            <w:vAlign w:val="center"/>
          </w:tcPr>
          <w:p>
            <w:pPr>
              <w:pStyle w:val="9"/>
            </w:pPr>
            <w:r>
              <w:t>7.83</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0.36</w:t>
            </w:r>
          </w:p>
        </w:tc>
        <w:tc>
          <w:tcPr>
            <w:tcW w:w="2551" w:type="dxa"/>
            <w:vAlign w:val="center"/>
          </w:tcPr>
          <w:p>
            <w:pPr>
              <w:pStyle w:val="9"/>
            </w:pPr>
            <w:r>
              <w:t>0.36</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12.41</w:t>
            </w:r>
          </w:p>
        </w:tc>
        <w:tc>
          <w:tcPr>
            <w:tcW w:w="2551" w:type="dxa"/>
            <w:vAlign w:val="center"/>
          </w:tcPr>
          <w:p>
            <w:pPr>
              <w:pStyle w:val="9"/>
            </w:pPr>
            <w:r>
              <w:t>12.41</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13.45</w:t>
            </w:r>
          </w:p>
        </w:tc>
        <w:tc>
          <w:tcPr>
            <w:tcW w:w="2551" w:type="dxa"/>
            <w:vAlign w:val="center"/>
          </w:tcPr>
          <w:p>
            <w:pPr>
              <w:pStyle w:val="9"/>
            </w:pPr>
          </w:p>
        </w:tc>
        <w:tc>
          <w:tcPr>
            <w:tcW w:w="2552" w:type="dxa"/>
            <w:vAlign w:val="center"/>
          </w:tcPr>
          <w:p>
            <w:pPr>
              <w:pStyle w:val="9"/>
            </w:pPr>
            <w:r>
              <w:t>13.45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3.00</w:t>
            </w:r>
          </w:p>
        </w:tc>
        <w:tc>
          <w:tcPr>
            <w:tcW w:w="2551" w:type="dxa"/>
            <w:vAlign w:val="center"/>
          </w:tcPr>
          <w:p>
            <w:pPr>
              <w:pStyle w:val="9"/>
            </w:pPr>
          </w:p>
        </w:tc>
        <w:tc>
          <w:tcPr>
            <w:tcW w:w="2552" w:type="dxa"/>
            <w:vAlign w:val="center"/>
          </w:tcPr>
          <w:p>
            <w:pPr>
              <w:pStyle w:val="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30208</w:t>
            </w:r>
          </w:p>
        </w:tc>
        <w:tc>
          <w:tcPr>
            <w:tcW w:w="4535" w:type="dxa"/>
            <w:vAlign w:val="center"/>
          </w:tcPr>
          <w:p>
            <w:pPr>
              <w:pStyle w:val="10"/>
            </w:pPr>
            <w:r>
              <w:t>取暖费</w:t>
            </w:r>
          </w:p>
        </w:tc>
        <w:tc>
          <w:tcPr>
            <w:tcW w:w="2551" w:type="dxa"/>
            <w:vAlign w:val="center"/>
          </w:tcPr>
          <w:p>
            <w:pPr>
              <w:pStyle w:val="9"/>
            </w:pPr>
            <w:r>
              <w:t>0.77</w:t>
            </w:r>
          </w:p>
        </w:tc>
        <w:tc>
          <w:tcPr>
            <w:tcW w:w="2551" w:type="dxa"/>
            <w:vAlign w:val="center"/>
          </w:tcPr>
          <w:p>
            <w:pPr>
              <w:pStyle w:val="9"/>
            </w:pPr>
          </w:p>
        </w:tc>
        <w:tc>
          <w:tcPr>
            <w:tcW w:w="2552" w:type="dxa"/>
            <w:vAlign w:val="center"/>
          </w:tcPr>
          <w:p>
            <w:pPr>
              <w:pStyle w:val="9"/>
            </w:pPr>
            <w: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30216</w:t>
            </w:r>
          </w:p>
        </w:tc>
        <w:tc>
          <w:tcPr>
            <w:tcW w:w="4535" w:type="dxa"/>
            <w:vAlign w:val="center"/>
          </w:tcPr>
          <w:p>
            <w:pPr>
              <w:pStyle w:val="10"/>
            </w:pPr>
            <w:r>
              <w:t>培训费</w:t>
            </w:r>
          </w:p>
        </w:tc>
        <w:tc>
          <w:tcPr>
            <w:tcW w:w="2551" w:type="dxa"/>
            <w:vAlign w:val="center"/>
          </w:tcPr>
          <w:p>
            <w:pPr>
              <w:pStyle w:val="9"/>
            </w:pPr>
            <w:r>
              <w:t>0.90</w:t>
            </w:r>
          </w:p>
        </w:tc>
        <w:tc>
          <w:tcPr>
            <w:tcW w:w="2551" w:type="dxa"/>
            <w:vAlign w:val="center"/>
          </w:tcPr>
          <w:p>
            <w:pPr>
              <w:pStyle w:val="9"/>
            </w:pPr>
          </w:p>
        </w:tc>
        <w:tc>
          <w:tcPr>
            <w:tcW w:w="2552" w:type="dxa"/>
            <w:vAlign w:val="center"/>
          </w:tcPr>
          <w:p>
            <w:pPr>
              <w:pStyle w:val="9"/>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0.60</w:t>
            </w:r>
          </w:p>
        </w:tc>
        <w:tc>
          <w:tcPr>
            <w:tcW w:w="2551" w:type="dxa"/>
            <w:vAlign w:val="center"/>
          </w:tcPr>
          <w:p>
            <w:pPr>
              <w:pStyle w:val="9"/>
            </w:pPr>
          </w:p>
        </w:tc>
        <w:tc>
          <w:tcPr>
            <w:tcW w:w="2552" w:type="dxa"/>
            <w:vAlign w:val="center"/>
          </w:tcPr>
          <w:p>
            <w:pPr>
              <w:pStyle w:val="9"/>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2.00</w:t>
            </w:r>
          </w:p>
        </w:tc>
        <w:tc>
          <w:tcPr>
            <w:tcW w:w="2551" w:type="dxa"/>
            <w:vAlign w:val="center"/>
          </w:tcPr>
          <w:p>
            <w:pPr>
              <w:pStyle w:val="9"/>
            </w:pPr>
          </w:p>
        </w:tc>
        <w:tc>
          <w:tcPr>
            <w:tcW w:w="2552" w:type="dxa"/>
            <w:vAlign w:val="center"/>
          </w:tcPr>
          <w:p>
            <w:pPr>
              <w:pStyle w:val="9"/>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6.00</w:t>
            </w:r>
          </w:p>
        </w:tc>
        <w:tc>
          <w:tcPr>
            <w:tcW w:w="2551" w:type="dxa"/>
            <w:vAlign w:val="center"/>
          </w:tcPr>
          <w:p>
            <w:pPr>
              <w:pStyle w:val="9"/>
            </w:pPr>
          </w:p>
        </w:tc>
        <w:tc>
          <w:tcPr>
            <w:tcW w:w="2552" w:type="dxa"/>
            <w:vAlign w:val="center"/>
          </w:tcPr>
          <w:p>
            <w:pPr>
              <w:pStyle w:val="9"/>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0.18</w:t>
            </w:r>
          </w:p>
        </w:tc>
        <w:tc>
          <w:tcPr>
            <w:tcW w:w="2551" w:type="dxa"/>
            <w:vAlign w:val="center"/>
          </w:tcPr>
          <w:p>
            <w:pPr>
              <w:pStyle w:val="9"/>
            </w:pPr>
          </w:p>
        </w:tc>
        <w:tc>
          <w:tcPr>
            <w:tcW w:w="2552" w:type="dxa"/>
            <w:vAlign w:val="center"/>
          </w:tcPr>
          <w:p>
            <w:pPr>
              <w:pStyle w:val="9"/>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2.73</w:t>
            </w:r>
          </w:p>
        </w:tc>
        <w:tc>
          <w:tcPr>
            <w:tcW w:w="2551" w:type="dxa"/>
            <w:vAlign w:val="center"/>
          </w:tcPr>
          <w:p>
            <w:pPr>
              <w:pStyle w:val="9"/>
            </w:pPr>
            <w:r>
              <w:t>2.73</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2.73</w:t>
            </w:r>
          </w:p>
        </w:tc>
        <w:tc>
          <w:tcPr>
            <w:tcW w:w="2551" w:type="dxa"/>
            <w:vAlign w:val="center"/>
          </w:tcPr>
          <w:p>
            <w:pPr>
              <w:pStyle w:val="9"/>
            </w:pPr>
            <w:r>
              <w:t>2.73</w:t>
            </w:r>
          </w:p>
        </w:tc>
        <w:tc>
          <w:tcPr>
            <w:tcW w:w="2552"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3"/>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3"/>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3"/>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2381" w:type="dxa"/>
            <w:tcBorders>
              <w:top w:val="single" w:color="FFFFFF" w:sz="6" w:space="0"/>
              <w:left w:val="single" w:color="FFFFFF" w:sz="6" w:space="0"/>
              <w:right w:val="single" w:color="FFFFFF" w:sz="6" w:space="0"/>
            </w:tcBorders>
            <w:vAlign w:val="center"/>
          </w:tcPr>
          <w:p>
            <w:pPr>
              <w:pStyle w:val="6"/>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1"/>
            </w:pPr>
          </w:p>
        </w:tc>
        <w:tc>
          <w:tcPr>
            <w:tcW w:w="3798" w:type="dxa"/>
            <w:vAlign w:val="center"/>
          </w:tcPr>
          <w:p>
            <w:pPr>
              <w:pStyle w:val="10"/>
            </w:pPr>
          </w:p>
        </w:tc>
        <w:tc>
          <w:tcPr>
            <w:tcW w:w="2382" w:type="dxa"/>
            <w:vAlign w:val="center"/>
          </w:tcPr>
          <w:p>
            <w:pPr>
              <w:pStyle w:val="9"/>
            </w:pPr>
          </w:p>
        </w:tc>
        <w:tc>
          <w:tcPr>
            <w:tcW w:w="2381" w:type="dxa"/>
            <w:vAlign w:val="center"/>
          </w:tcPr>
          <w:p>
            <w:pPr>
              <w:pStyle w:val="9"/>
              <w:jc w:val="center"/>
              <w:rPr>
                <w:rFonts w:hint="eastAsia" w:eastAsiaTheme="minorEastAsia"/>
                <w:lang w:eastAsia="zh-CN"/>
              </w:rPr>
            </w:pPr>
            <w:r>
              <w:rPr>
                <w:rFonts w:hint="eastAsia" w:eastAsiaTheme="minorEastAsia"/>
                <w:lang w:eastAsia="zh-CN"/>
              </w:rPr>
              <w:t>2</w:t>
            </w:r>
          </w:p>
        </w:tc>
        <w:tc>
          <w:tcPr>
            <w:tcW w:w="2381" w:type="dxa"/>
            <w:vAlign w:val="center"/>
          </w:tcPr>
          <w:p>
            <w:pPr>
              <w:pStyle w:val="9"/>
            </w:pPr>
          </w:p>
        </w:tc>
        <w:tc>
          <w:tcPr>
            <w:tcW w:w="2381" w:type="dxa"/>
            <w:vAlign w:val="center"/>
          </w:tcPr>
          <w:p>
            <w:pPr>
              <w:pStyle w:val="9"/>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内丘县机构编制委员会办公室2023年部门预算信息公开情况说明</w:t>
      </w:r>
    </w:p>
    <w:p>
      <w:pPr>
        <w:jc w:val="center"/>
      </w:pPr>
      <w:r>
        <w:rPr>
          <w:rFonts w:ascii="方正小标宋_GBK" w:hAnsi="方正小标宋_GBK" w:eastAsia="方正小标宋_GBK" w:cs="方正小标宋_GBK"/>
          <w:color w:val="000000"/>
          <w:sz w:val="44"/>
        </w:rPr>
        <w:t>内丘县机构编制委员会办公室2023年部门预算信息公开情况说明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按照《预算法》、《地方预决算公开操作规程》和《关于进一步推进预算公开工作的实施意见》规定，现将内丘县机构编制委员会办公室2023年部门预算公开如下：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5"/>
      </w:pPr>
      <w:r>
        <w:t>部门职责</w:t>
      </w:r>
    </w:p>
    <w:p>
      <w:pPr>
        <w:pStyle w:val="15"/>
      </w:pPr>
      <w:r>
        <w:t>　（一）贯彻落实党中央、国务院和省、市关于行政管理体制和机构改革以及机构编制管理的政策法规，组织拟订全县行政管理体制和机构改革以及机构编制管理的政策措施并监督实施；管理和指导县、乡党政机关，人大、政协、法院、检察院机关，各民主党派、人民团体机关的机构编制工作；管理和指导全县事业单位机构编制工作。</w:t>
      </w:r>
    </w:p>
    <w:p>
      <w:pPr>
        <w:pStyle w:val="15"/>
      </w:pPr>
      <w:r>
        <w:t xml:space="preserve">组织拟订全县行政管理体制和机构改革总体方案并组织实施。拟订县委、县政府机构改革方案。审核县委、县政府各部门职能配置、机构设置、人员编制和领导职数。审核乡（镇）行政管理体制和机构改革方案。审核并管理全县各级各类人员编制总额。负责综合行政执法试点工作。   </w:t>
      </w:r>
    </w:p>
    <w:p>
      <w:pPr>
        <w:pStyle w:val="15"/>
      </w:pPr>
      <w:r>
        <w:t xml:space="preserve">（三）协调县委、县政府各部门的职能配置及其调整。协调县委各部门之间、县政府各部门之间、县委各部门与县政府各部门之间以及县直各部门与乡（镇）之间的职责分工。研究提出参照公务员法管理事业单位的行政管理职能认定意见。  </w:t>
      </w:r>
    </w:p>
    <w:p>
      <w:pPr>
        <w:pStyle w:val="15"/>
      </w:pPr>
      <w:r>
        <w:t>（四）审核或审批县委、县政府及各部门和群团机关的派出机构的职能配置、机构设置、人员编制和领导职数。审核或审批县、乡党委、政府机构设置和调整事宜。审核县、乡镇机构编制分类。</w:t>
      </w:r>
    </w:p>
    <w:p>
      <w:pPr>
        <w:pStyle w:val="15"/>
      </w:pPr>
      <w:r>
        <w:t>（五）审核县人大、县政协、县法院、县检察院、各人民团体机关的职能配置、机构设置、人员编制和领导职数。审核县人大、政协、法院、检察院和各民主党派、人民团体机关内设机构设置。</w:t>
      </w:r>
    </w:p>
    <w:p>
      <w:pPr>
        <w:pStyle w:val="15"/>
      </w:pPr>
      <w:r>
        <w:t xml:space="preserve">（六）组织拟订全县事业单位管理体制和机构改革方案。落实事业单位机构编制标准，组织拟订全县各类事业单位分类管理办法。审核事业编制总量和结构。审核县委、县政府直属事业机构，以及县直部门所属事业单位的机构编制事宜。指导并协调乡镇事业单位管理体制改革和机构编制管理工作。审核县委、县政府及县直各部门联系的各群众团体的机构编制事宜。负责全县事业单位法人登记管理和监督检查工作。   </w:t>
      </w:r>
    </w:p>
    <w:p>
      <w:pPr>
        <w:pStyle w:val="15"/>
      </w:pPr>
      <w:r>
        <w:t>（七）负责机构编制日常管理。负责对全县机构编制的总量控制、动态管理和机构编制标准化工作。负责机构编制实名制管理，以及编制使用核准等工作。建立健全机构编制部门与有关部门的配合制约机制。</w:t>
      </w:r>
    </w:p>
    <w:p>
      <w:pPr>
        <w:pStyle w:val="15"/>
      </w:pPr>
      <w:r>
        <w:t xml:space="preserve">(八）负责对各级行政、事业单位管理体制和机构改革及机构编制执行情况的跟踪评估和监督检查。负责受理违反机构编制法规、纪律的检举、控告和投诉，对违反机构编制法规、纪律问题进行调查处理。 </w:t>
      </w:r>
    </w:p>
    <w:p>
      <w:pPr>
        <w:pStyle w:val="15"/>
      </w:pPr>
      <w:r>
        <w:t>（九）负责全县机构编制信息管理系统、电子政务和机构编制网站的建设和管理。负责全县机构编制统计工作。指导全县党政群机关、事业单位和其他非营利性单位网上名称管理工作。</w:t>
      </w:r>
    </w:p>
    <w:p>
      <w:pPr>
        <w:pStyle w:val="15"/>
      </w:pPr>
      <w:r>
        <w:t>（十）承办县委、县政府和县机构编制委员会交办的其他事项。</w:t>
      </w:r>
    </w:p>
    <w:p>
      <w:pPr>
        <w:pStyle w:val="1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3"/>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0"/>
            </w:pPr>
            <w:r>
              <w:t>内丘县机构编制委员会办公室本级</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hint="eastAsia"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按照预算管理有关规定，目前我省部门预算的编制实行综合预算管理，即全部收入和支出都反映在预算中。内丘县机构编制委员会办公室机关及所属事业单位的收支包含在部门预算中。</w:t>
      </w:r>
    </w:p>
    <w:p>
      <w:pPr>
        <w:pStyle w:val="31"/>
        <w:numPr>
          <w:ilvl w:val="0"/>
          <w:numId w:val="1"/>
        </w:numPr>
        <w:spacing w:line="500" w:lineRule="exact"/>
        <w:ind w:firstLineChars="0"/>
        <w:rPr>
          <w:rFonts w:eastAsiaTheme="minorEastAsia"/>
          <w:color w:val="000000"/>
          <w:sz w:val="28"/>
          <w:lang w:eastAsia="zh-CN"/>
        </w:rPr>
      </w:pPr>
      <w:r>
        <w:rPr>
          <w:rFonts w:hint="eastAsia" w:eastAsiaTheme="minorEastAsia"/>
          <w:color w:val="000000"/>
          <w:sz w:val="28"/>
          <w:lang w:eastAsia="zh-CN"/>
        </w:rPr>
        <w:t>收入情况</w:t>
      </w:r>
    </w:p>
    <w:p>
      <w:pPr>
        <w:pStyle w:val="15"/>
        <w:ind w:firstLine="840" w:firstLineChars="300"/>
        <w:rPr>
          <w:color w:val="000000"/>
        </w:rPr>
      </w:pPr>
      <w:r>
        <w:rPr>
          <w:rFonts w:hint="eastAsia"/>
          <w:color w:val="000000"/>
        </w:rPr>
        <w:t>202</w:t>
      </w:r>
      <w:r>
        <w:rPr>
          <w:rFonts w:hint="eastAsia" w:eastAsiaTheme="minorEastAsia"/>
          <w:color w:val="000000"/>
          <w:lang w:eastAsia="zh-CN"/>
        </w:rPr>
        <w:t>3</w:t>
      </w:r>
      <w:r>
        <w:rPr>
          <w:rFonts w:hint="eastAsia"/>
          <w:color w:val="000000"/>
        </w:rPr>
        <w:t>年我办预算收支安排</w:t>
      </w:r>
      <w:r>
        <w:rPr>
          <w:rFonts w:hint="eastAsia" w:eastAsiaTheme="minorEastAsia"/>
          <w:color w:val="000000"/>
          <w:lang w:eastAsia="zh-CN"/>
        </w:rPr>
        <w:t>182.7</w:t>
      </w:r>
      <w:r>
        <w:rPr>
          <w:rFonts w:hint="eastAsia"/>
          <w:color w:val="000000"/>
        </w:rPr>
        <w:t>万元，其中一般公共预算收</w:t>
      </w:r>
      <w:r>
        <w:rPr>
          <w:rFonts w:hint="eastAsia" w:eastAsiaTheme="minorEastAsia"/>
          <w:color w:val="000000"/>
          <w:lang w:eastAsia="zh-CN"/>
        </w:rPr>
        <w:t>182.7</w:t>
      </w:r>
      <w:r>
        <w:rPr>
          <w:rFonts w:hint="eastAsia"/>
          <w:color w:val="000000"/>
        </w:rPr>
        <w:t>万元。</w:t>
      </w:r>
    </w:p>
    <w:p>
      <w:pPr>
        <w:pStyle w:val="31"/>
        <w:numPr>
          <w:ilvl w:val="0"/>
          <w:numId w:val="1"/>
        </w:numPr>
        <w:spacing w:line="640" w:lineRule="exact"/>
        <w:ind w:firstLineChars="0"/>
        <w:rPr>
          <w:rFonts w:eastAsia="方正仿宋_GBK"/>
          <w:color w:val="000000"/>
          <w:sz w:val="28"/>
        </w:rPr>
      </w:pPr>
      <w:r>
        <w:rPr>
          <w:rFonts w:hint="eastAsia" w:eastAsia="方正仿宋_GBK"/>
          <w:color w:val="000000"/>
          <w:sz w:val="28"/>
        </w:rPr>
        <w:t>支出情况</w:t>
      </w:r>
    </w:p>
    <w:p>
      <w:pPr>
        <w:pStyle w:val="15"/>
        <w:rPr>
          <w:color w:val="000000"/>
        </w:rPr>
      </w:pPr>
      <w:r>
        <w:rPr>
          <w:rFonts w:hint="eastAsia"/>
          <w:color w:val="000000"/>
        </w:rPr>
        <w:t>收支预算总表支出栏、基本支出表、项目支出表按经济分类和支出功能分类科目编制，反映中共内丘县委机构编制委员会办公室202</w:t>
      </w:r>
      <w:r>
        <w:rPr>
          <w:rFonts w:hint="eastAsia" w:eastAsiaTheme="minorEastAsia"/>
          <w:color w:val="000000"/>
          <w:lang w:eastAsia="zh-CN"/>
        </w:rPr>
        <w:t>3</w:t>
      </w:r>
      <w:r>
        <w:rPr>
          <w:rFonts w:hint="eastAsia"/>
          <w:color w:val="000000"/>
        </w:rPr>
        <w:t>年度部门预算中支出预算的总体情况，202</w:t>
      </w:r>
      <w:r>
        <w:rPr>
          <w:rFonts w:hint="eastAsia" w:eastAsiaTheme="minorEastAsia"/>
          <w:color w:val="000000"/>
          <w:lang w:eastAsia="zh-CN"/>
        </w:rPr>
        <w:t>3</w:t>
      </w:r>
      <w:r>
        <w:rPr>
          <w:rFonts w:hint="eastAsia"/>
          <w:color w:val="000000"/>
        </w:rPr>
        <w:t>年我办支出预算</w:t>
      </w:r>
      <w:r>
        <w:rPr>
          <w:rFonts w:hint="eastAsia" w:eastAsiaTheme="minorEastAsia"/>
          <w:color w:val="000000"/>
          <w:lang w:eastAsia="zh-CN"/>
        </w:rPr>
        <w:t>182.7</w:t>
      </w:r>
      <w:r>
        <w:rPr>
          <w:rFonts w:hint="eastAsia"/>
          <w:color w:val="000000"/>
        </w:rPr>
        <w:t>万元，其中基本支出</w:t>
      </w:r>
      <w:r>
        <w:rPr>
          <w:rFonts w:hint="eastAsia" w:eastAsiaTheme="minorEastAsia"/>
          <w:color w:val="000000"/>
          <w:lang w:eastAsia="zh-CN"/>
        </w:rPr>
        <w:t>161.9</w:t>
      </w:r>
      <w:r>
        <w:rPr>
          <w:rFonts w:hint="eastAsia"/>
          <w:color w:val="000000"/>
        </w:rPr>
        <w:t>万元，包括人员经费和日常公用经费；项目支出</w:t>
      </w:r>
      <w:r>
        <w:rPr>
          <w:rFonts w:hint="eastAsia" w:eastAsiaTheme="minorEastAsia"/>
          <w:color w:val="000000"/>
          <w:lang w:eastAsia="zh-CN"/>
        </w:rPr>
        <w:t>20.8</w:t>
      </w:r>
      <w:r>
        <w:rPr>
          <w:rFonts w:hint="eastAsia"/>
          <w:color w:val="000000"/>
        </w:rPr>
        <w:t>万元，主要用于机构编制改革、中文域名续费、机构编制管理和行政管理体制改革等项目。</w:t>
      </w:r>
    </w:p>
    <w:p>
      <w:pPr>
        <w:pStyle w:val="31"/>
        <w:numPr>
          <w:ilvl w:val="0"/>
          <w:numId w:val="1"/>
        </w:numPr>
        <w:spacing w:line="640" w:lineRule="exact"/>
        <w:ind w:firstLineChars="0"/>
        <w:rPr>
          <w:rFonts w:eastAsiaTheme="minorEastAsia"/>
          <w:color w:val="000000"/>
          <w:sz w:val="28"/>
          <w:lang w:eastAsia="zh-CN"/>
        </w:rPr>
      </w:pPr>
      <w:r>
        <w:rPr>
          <w:rFonts w:hint="eastAsia" w:eastAsiaTheme="minorEastAsia"/>
          <w:color w:val="000000"/>
          <w:sz w:val="28"/>
          <w:lang w:eastAsia="zh-CN"/>
        </w:rPr>
        <w:t>比上年增减情况：</w:t>
      </w:r>
    </w:p>
    <w:p>
      <w:pPr>
        <w:pStyle w:val="15"/>
        <w:rPr>
          <w:rFonts w:hint="eastAsia" w:eastAsiaTheme="minorEastAsia"/>
          <w:color w:val="000000"/>
          <w:lang w:eastAsia="zh-CN"/>
        </w:rPr>
      </w:pPr>
      <w:r>
        <w:rPr>
          <w:rFonts w:hint="eastAsia"/>
          <w:color w:val="000000"/>
        </w:rPr>
        <w:t>202</w:t>
      </w:r>
      <w:r>
        <w:rPr>
          <w:rFonts w:hint="eastAsia" w:eastAsiaTheme="minorEastAsia"/>
          <w:color w:val="000000"/>
          <w:lang w:eastAsia="zh-CN"/>
        </w:rPr>
        <w:t>3</w:t>
      </w:r>
      <w:r>
        <w:rPr>
          <w:rFonts w:hint="eastAsia"/>
          <w:color w:val="000000"/>
        </w:rPr>
        <w:t>年预算收支安排</w:t>
      </w:r>
      <w:r>
        <w:rPr>
          <w:rFonts w:hint="eastAsia" w:eastAsiaTheme="minorEastAsia"/>
          <w:color w:val="000000"/>
          <w:lang w:eastAsia="zh-CN"/>
        </w:rPr>
        <w:t>182.7</w:t>
      </w:r>
      <w:r>
        <w:rPr>
          <w:rFonts w:hint="eastAsia"/>
          <w:color w:val="000000"/>
        </w:rPr>
        <w:t>万元，较202</w:t>
      </w:r>
      <w:r>
        <w:rPr>
          <w:rFonts w:hint="eastAsia" w:eastAsiaTheme="minorEastAsia"/>
          <w:color w:val="000000"/>
          <w:lang w:eastAsia="zh-CN"/>
        </w:rPr>
        <w:t>2</w:t>
      </w:r>
      <w:r>
        <w:rPr>
          <w:rFonts w:hint="eastAsia"/>
          <w:color w:val="000000"/>
        </w:rPr>
        <w:t>年预算增加</w:t>
      </w:r>
      <w:r>
        <w:rPr>
          <w:rFonts w:hint="eastAsia" w:eastAsiaTheme="minorEastAsia"/>
          <w:color w:val="000000"/>
          <w:lang w:eastAsia="zh-CN"/>
        </w:rPr>
        <w:t>25.48</w:t>
      </w:r>
      <w:r>
        <w:rPr>
          <w:rFonts w:hint="eastAsia"/>
          <w:color w:val="000000"/>
        </w:rPr>
        <w:t>万元，其中基本支出增加</w:t>
      </w:r>
      <w:r>
        <w:rPr>
          <w:rFonts w:hint="eastAsia" w:eastAsiaTheme="minorEastAsia"/>
          <w:color w:val="000000"/>
          <w:lang w:eastAsia="zh-CN"/>
        </w:rPr>
        <w:t>25.48</w:t>
      </w:r>
      <w:r>
        <w:rPr>
          <w:rFonts w:hint="eastAsia"/>
          <w:color w:val="000000"/>
        </w:rPr>
        <w:t>万元，主要是有新增人员及各项保险缴费增加；项目支出</w:t>
      </w:r>
      <w:r>
        <w:rPr>
          <w:rFonts w:hint="eastAsia" w:eastAsiaTheme="minorEastAsia"/>
          <w:color w:val="000000"/>
          <w:lang w:eastAsia="zh-CN"/>
        </w:rPr>
        <w:t>较</w:t>
      </w:r>
      <w:r>
        <w:rPr>
          <w:rFonts w:hint="eastAsia"/>
          <w:color w:val="000000"/>
        </w:rPr>
        <w:t>202</w:t>
      </w:r>
      <w:r>
        <w:rPr>
          <w:rFonts w:hint="eastAsia" w:eastAsiaTheme="minorEastAsia"/>
          <w:color w:val="000000"/>
          <w:lang w:eastAsia="zh-CN"/>
        </w:rPr>
        <w:t xml:space="preserve">2  </w:t>
      </w:r>
      <w:r>
        <w:rPr>
          <w:rFonts w:hint="eastAsia"/>
          <w:color w:val="000000"/>
        </w:rPr>
        <w:t>年预算</w:t>
      </w:r>
      <w:r>
        <w:rPr>
          <w:rFonts w:hint="eastAsia" w:eastAsiaTheme="minorEastAsia"/>
          <w:color w:val="000000"/>
          <w:lang w:eastAsia="zh-CN"/>
        </w:rPr>
        <w:t>减少0.4万，因中文域名注册续费单位减少</w:t>
      </w:r>
      <w:r>
        <w:rPr>
          <w:rFonts w:hint="eastAsia"/>
          <w:color w:val="000000"/>
        </w:rPr>
        <w:t>。</w:t>
      </w:r>
    </w:p>
    <w:p>
      <w:pPr>
        <w:spacing w:before="10" w:after="10" w:line="360" w:lineRule="auto"/>
        <w:ind w:firstLine="640"/>
        <w:outlineLvl w:val="2"/>
        <w:rPr>
          <w:rFonts w:hint="eastAsia"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outlineLvl w:val="2"/>
        <w:rPr>
          <w:rFonts w:ascii="黑体" w:hAnsi="黑体" w:eastAsia="黑体" w:cs="黑体"/>
          <w:color w:val="000000"/>
          <w:sz w:val="32"/>
          <w:lang w:eastAsia="zh-CN"/>
        </w:rPr>
      </w:pPr>
      <w:r>
        <w:rPr>
          <w:rFonts w:hint="eastAsia" w:eastAsia="方正仿宋_GBK"/>
          <w:color w:val="000000"/>
          <w:sz w:val="28"/>
        </w:rPr>
        <w:t>机关运行经费安排</w:t>
      </w:r>
      <w:r>
        <w:rPr>
          <w:rFonts w:hint="eastAsia" w:eastAsiaTheme="minorEastAsia"/>
          <w:color w:val="000000"/>
          <w:sz w:val="28"/>
          <w:lang w:eastAsia="zh-CN"/>
        </w:rPr>
        <w:t>13.45</w:t>
      </w:r>
      <w:r>
        <w:rPr>
          <w:rFonts w:hint="eastAsia" w:eastAsia="方正仿宋_GBK"/>
          <w:color w:val="000000"/>
          <w:sz w:val="28"/>
        </w:rPr>
        <w:t>万元，主要用于办公经费、取暖费、职工福利费、培训费、招待费、公车运行维护费及其他交通费。</w:t>
      </w:r>
    </w:p>
    <w:p>
      <w:pPr>
        <w:spacing w:before="10" w:after="10" w:line="360" w:lineRule="auto"/>
        <w:ind w:firstLine="640"/>
        <w:outlineLvl w:val="2"/>
        <w:rPr>
          <w:rFonts w:hint="eastAsia"/>
          <w:lang w:eastAsia="zh-CN"/>
        </w:rPr>
      </w:pPr>
    </w:p>
    <w:p>
      <w:pPr>
        <w:pStyle w:val="17"/>
      </w:pPr>
    </w:p>
    <w:p>
      <w:pPr>
        <w:spacing w:before="10" w:after="10" w:line="360" w:lineRule="auto"/>
        <w:ind w:firstLine="640"/>
        <w:outlineLvl w:val="2"/>
        <w:rPr>
          <w:rFonts w:hint="eastAsia"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spacing w:before="10" w:after="10" w:line="360" w:lineRule="auto"/>
        <w:ind w:firstLine="640"/>
        <w:outlineLvl w:val="2"/>
        <w:rPr>
          <w:rFonts w:hint="eastAsia" w:eastAsiaTheme="minorEastAsia"/>
          <w:color w:val="000000"/>
          <w:sz w:val="28"/>
          <w:lang w:eastAsia="zh-CN"/>
        </w:rPr>
      </w:pPr>
      <w:r>
        <w:rPr>
          <w:rFonts w:hint="eastAsia" w:eastAsia="方正仿宋_GBK"/>
          <w:color w:val="000000"/>
          <w:sz w:val="28"/>
        </w:rPr>
        <w:t>202</w:t>
      </w:r>
      <w:r>
        <w:rPr>
          <w:rFonts w:hint="eastAsia" w:eastAsiaTheme="minorEastAsia"/>
          <w:color w:val="000000"/>
          <w:sz w:val="28"/>
          <w:lang w:eastAsia="zh-CN"/>
        </w:rPr>
        <w:t>3</w:t>
      </w:r>
      <w:r>
        <w:rPr>
          <w:rFonts w:hint="eastAsia" w:eastAsia="方正仿宋_GBK"/>
          <w:color w:val="000000"/>
          <w:sz w:val="28"/>
        </w:rPr>
        <w:t>年，我单位“三公”经费预算安排2万元，其中:公务用车购置及运维费2万元（公务用车购置费为0万元，公务用车运行费2万元），与202</w:t>
      </w:r>
      <w:r>
        <w:rPr>
          <w:rFonts w:hint="eastAsia" w:eastAsia="方正仿宋_GBK"/>
          <w:color w:val="000000"/>
          <w:sz w:val="28"/>
          <w:lang w:val="en-US" w:eastAsia="zh-CN"/>
        </w:rPr>
        <w:t>2</w:t>
      </w:r>
      <w:r>
        <w:rPr>
          <w:rFonts w:hint="eastAsia" w:eastAsia="方正仿宋_GBK"/>
          <w:color w:val="000000"/>
          <w:sz w:val="28"/>
        </w:rPr>
        <w:t>年预算持平，无增减变化；因公出国（境）费0万元，与2</w:t>
      </w:r>
      <w:r>
        <w:rPr>
          <w:rFonts w:hint="eastAsia" w:eastAsiaTheme="minorEastAsia"/>
          <w:color w:val="000000"/>
          <w:sz w:val="28"/>
          <w:lang w:eastAsia="zh-CN"/>
        </w:rPr>
        <w:t>2</w:t>
      </w:r>
      <w:r>
        <w:rPr>
          <w:rFonts w:hint="eastAsia" w:eastAsia="方正仿宋_GBK"/>
          <w:color w:val="000000"/>
          <w:sz w:val="28"/>
        </w:rPr>
        <w:t>年预算持平，无增减变化；公车接待费0万元，与202</w:t>
      </w:r>
      <w:r>
        <w:rPr>
          <w:rFonts w:hint="eastAsia" w:eastAsiaTheme="minorEastAsia"/>
          <w:color w:val="000000"/>
          <w:sz w:val="28"/>
          <w:lang w:eastAsia="zh-CN"/>
        </w:rPr>
        <w:t>2</w:t>
      </w:r>
      <w:r>
        <w:rPr>
          <w:rFonts w:hint="eastAsia" w:eastAsia="方正仿宋_GBK"/>
          <w:color w:val="000000"/>
          <w:sz w:val="28"/>
        </w:rPr>
        <w:t>年预算持平，无增减变化。</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19"/>
      </w:pPr>
      <w:r>
        <w:t>一是继续推进“放管服”改革，切实优化营商环境。进一步转变政府职能，深化简政放权，创新监管方式，为建设人民满意的服务型政府提供体制机制保障。全面推进行政许可标准化，实现行政许可标准化运行。深化“最多跑一次”改革，不断简化优化办事流程。加快大孟村镇综合执法改革试点工作。</w:t>
      </w:r>
    </w:p>
    <w:p>
      <w:pPr>
        <w:pStyle w:val="19"/>
      </w:pPr>
      <w:r>
        <w:t>二是深入推进机构改革，优化政府组织结构和各级权力配置。按照中央和省市部署，扎实开展县级新一轮党政群机构改革，统筹考虑各类机构设置，科学配置党政部门职责及内设机构权力、明确职责。</w:t>
      </w:r>
    </w:p>
    <w:p>
      <w:pPr>
        <w:pStyle w:val="19"/>
      </w:pPr>
      <w:r>
        <w:t>三是扎实推进重点领域行政体制改革。按照中央和省市统一部署要求，完成县级监察委员会组建工作；做好建立军民融合发展工作机构相关工作，健全退役军人管理保障服务体系；积极推进综合行政执法改革，整合执法职能和执法机构；配合做好金融监管、司法和民族宗教等体制机制改革。</w:t>
      </w:r>
    </w:p>
    <w:p>
      <w:pPr>
        <w:pStyle w:val="19"/>
      </w:pPr>
      <w:r>
        <w:t>四是继续深化事业单位分类改革，推进政事分开、政企分开、管办分离。按照上级部署，推进承担行政职能事业单位和从事生产经营活动事业单位改革。根据上级出台相关政策，稳步推进事业单位改革工作，持续推进政事分开、事企分开、管办分离。提高机关事业单位登记管理服务水平，抓好事业单位登记管理和机关、群团统一社会信用代码管理工作。</w:t>
      </w:r>
    </w:p>
    <w:p>
      <w:pPr>
        <w:pStyle w:val="19"/>
      </w:pPr>
      <w:r>
        <w:t>五是优化配置执政资源，统筹使用各类编制。建立统筹使用各类编制资源制度规定，健全机构编制实名制管理，继续实施机构编制年度计划核准制度和事业单位招聘备案制度，全面落实实名制数据月报制度。加强机构编制基础性工作，加强网上名称管理，加大中文域名、机构编制云平台等应用和管理、维护工作。</w:t>
      </w:r>
    </w:p>
    <w:p>
      <w:pPr>
        <w:pStyle w:val="19"/>
      </w:pPr>
    </w:p>
    <w:p>
      <w:pPr>
        <w:pStyle w:val="19"/>
      </w:pPr>
    </w:p>
    <w:p>
      <w:pPr>
        <w:spacing w:line="500" w:lineRule="exact"/>
        <w:ind w:firstLine="560"/>
      </w:pPr>
      <w:r>
        <w:rPr>
          <w:rFonts w:eastAsia="方正仿宋_GBK"/>
          <w:color w:val="000000"/>
          <w:sz w:val="28"/>
        </w:rPr>
        <w:t>（二）分项绩效目标</w:t>
      </w:r>
    </w:p>
    <w:p>
      <w:pPr>
        <w:pStyle w:val="20"/>
      </w:pPr>
      <w:r>
        <w:t>(一）中文域名注册管理</w:t>
      </w:r>
    </w:p>
    <w:p>
      <w:pPr>
        <w:pStyle w:val="20"/>
      </w:pPr>
      <w:r>
        <w:t>职责描述：组织和指导全县“政务”和“公益”专用中文域名注册工作，负责全县党政群、事业单位和其他非盈利性单位网上名称管理工作。</w:t>
      </w:r>
    </w:p>
    <w:p>
      <w:pPr>
        <w:pStyle w:val="20"/>
      </w:pPr>
      <w:r>
        <w:t>年度绩效目标：指导全县党政群机关及事业单位网上名称注册、续费等维护管理工作。积极做好各单位中文域名的使用和维护工作，及时进行单位域名名称的变更和维护工作，严格按照省、市要求做好中文域名的注册、管理、续费工作，是全县中文域名注册率达到100%。</w:t>
      </w:r>
    </w:p>
    <w:p>
      <w:pPr>
        <w:pStyle w:val="20"/>
      </w:pPr>
      <w:r>
        <w:t>（二）机构编制管理</w:t>
      </w:r>
    </w:p>
    <w:p>
      <w:pPr>
        <w:pStyle w:val="20"/>
      </w:pPr>
      <w:r>
        <w:t>职责描述：审核或审批县委、县政府，各级党政、人大、政协、法院、检察院机关，各民主党派、人民团体机关的机构编制管理事宜；建立统筹使用各类编制资源的制度规定，负责全县事业单位法人登记管理和监督检查工作。</w:t>
      </w:r>
    </w:p>
    <w:p>
      <w:pPr>
        <w:pStyle w:val="20"/>
      </w:pPr>
      <w:r>
        <w:t>年度绩效目标：做好机构编制审批和事业单位法人登记管理和监督检查工作，规范机构编制管理。坚持和完善机构编制实名制管理，加大监督检查力度，加强机构编制违规违纪预防教育，加大对机构编制违规违纪行为的查处力度，全年开展机构编制问题整改推进审批联动工作，逐部门建立问题整改台账，明确整改时限；与组织部联合开展规范领导职数管理工作；积极配合做好经济责任审计等工作。开展事业单位统一登记制度改革和机关群团同意社会信用代码工作。积继续开展机关群团统一社会信用代码赋码发证工作，及时有效的为机关群团单位更换社会信用代码使社会信用统一代码登记率达到100%。</w:t>
      </w:r>
    </w:p>
    <w:p>
      <w:pPr>
        <w:pStyle w:val="20"/>
      </w:pPr>
      <w:r>
        <w:t>促进政府职能转变</w:t>
      </w:r>
    </w:p>
    <w:p>
      <w:pPr>
        <w:pStyle w:val="20"/>
      </w:pPr>
      <w:r>
        <w:t>职责描述：强化社会管理和公共服务。加快推进政企分开、政资分开、政事分开、政府与中介分开，规范行政行为，加强行政执法部门建设，减少和规范行政审批，减少政府对微观经济运行的干预。</w:t>
      </w:r>
    </w:p>
    <w:p>
      <w:pPr>
        <w:pStyle w:val="20"/>
      </w:pPr>
      <w:r>
        <w:t>年度绩效目标：促进政府职能转变持续深化事业单位改革，着力增强公益属性。按照上级部署，推进承担行政职能事业单位和从事生产经营活动事业单位改革。根据上级出台相关政策，稳步推进事业单位改革工作，持续推进政事分开、事企分开、管办分离。行政审批制度改革工作监督检查3次，行政审批项目清理工作完成90%以上。</w:t>
      </w:r>
    </w:p>
    <w:p>
      <w:pPr>
        <w:pStyle w:val="20"/>
      </w:pPr>
      <w:r>
        <w:t>（四）编办事务管理</w:t>
      </w:r>
    </w:p>
    <w:p>
      <w:pPr>
        <w:pStyle w:val="20"/>
      </w:pPr>
      <w:r>
        <w:t>职责描述：做好机关人员管理及保障工作，为充分发挥职能作用提供有效保障。</w:t>
      </w:r>
    </w:p>
    <w:p>
      <w:pPr>
        <w:pStyle w:val="20"/>
      </w:pPr>
      <w:r>
        <w:t>年度绩效目标：加强机关党组织建设，严格组织生活制度，丰富党建活动内容，做好党员发展、教育、管理和党务干部的教育培训工作，充分发挥党组织的战斗堡垒作用和党员的先锋模范作用</w:t>
      </w:r>
    </w:p>
    <w:p>
      <w:pPr>
        <w:pStyle w:val="20"/>
      </w:pPr>
      <w:r>
        <w:t>（五）行政管理体制改革</w:t>
      </w:r>
    </w:p>
    <w:p>
      <w:pPr>
        <w:pStyle w:val="20"/>
      </w:pPr>
      <w:r>
        <w:t>职责描述：着眼新一轮县级党政群机构改革，及时做好调研摸底，精心做好前期准备工作，待省市部署后组织实施。统一印发部门“三定”规定。</w:t>
      </w:r>
    </w:p>
    <w:p>
      <w:pPr>
        <w:pStyle w:val="20"/>
      </w:pPr>
      <w:r>
        <w:t>年度绩效目标：重点领域行政体制改革，完成县级监察委员会组建工作；做好建立军民融合发展工作机构相关工作，健全退役军人管理保障服务体系；积极推进综合行政执法改革，在市场监管及交通、农业、资源环境等重点领域，整合执法职能和执法机构；配合做好金融监管、司法和民族宗教等体制机制改革。为进一步完善人大专门委员会设置。</w:t>
      </w:r>
    </w:p>
    <w:p>
      <w:pPr>
        <w:pStyle w:val="20"/>
      </w:pPr>
      <w:r>
        <w:t>年度绩效目标：继续衔接落实好上级下放调整的行政审批事项。及时衔接落实国家和省、市取消下放的行政审批事项，进一步优化营商环境、激发市场活力和社会创造力。优化完善县行政审批局运行机制，指导县行政审批局推行统一规范的行政审批行为和运行模式，持续简化优化公共服务。着力加强事中事后监管。针对监管转型滞后等共性问题，结合相对集中行政许可权改革，加强审批与监管无缝衔接、审批与监管同步加强的有效方式和途径。继续深化行政审批体制改革，结合党政群机构改革，进一步完善清单管理制度，督导相关部门及时调整完善本部清单。深化“最多跑一次”改革，巩固完善“最多跑一次”改革成果，深入推进重点领域继续“最多跑一次”改革，着力优化营商环境。积极推进大孟村镇综合执法试点工作，理顺工作机制，协调有关部门向大孟村镇放权。</w:t>
      </w:r>
    </w:p>
    <w:p>
      <w:pPr>
        <w:pStyle w:val="20"/>
      </w:pPr>
    </w:p>
    <w:p>
      <w:pPr>
        <w:spacing w:line="500" w:lineRule="exact"/>
        <w:ind w:firstLine="560"/>
      </w:pPr>
      <w:r>
        <w:rPr>
          <w:rFonts w:eastAsia="方正仿宋_GBK"/>
          <w:color w:val="000000"/>
          <w:sz w:val="28"/>
        </w:rPr>
        <w:t>（三）工作保障措施</w:t>
      </w:r>
    </w:p>
    <w:p>
      <w:pPr>
        <w:pStyle w:val="21"/>
      </w:pPr>
      <w:r>
        <w:t>一是在完成全县机构改革的基础上。重点做好深化党政群机构改革工作和推进县人大、政协、群团等体制的改革。根据省、市统一安排部署，参照邢台市市直经验，加强改革前的调研摸底和会议组织工作，切实理顺部门职责、再造优化工作流程坚持蹄疾步稳、紧凑有序，严格按照市委明确的时限保质保量完成各项改革任务。</w:t>
      </w:r>
    </w:p>
    <w:p>
      <w:pPr>
        <w:pStyle w:val="21"/>
      </w:pPr>
      <w:r>
        <w:t>二是深化事业单位改革。将承担行政职能事业单位改革纳入党政机构改革统筹推进、同时实施，全面清理事业单位承担的行政职能。稳妥推进从事生产经营活动事业单位改革，督促指导各市抓紧出台本地改革实施方案。</w:t>
      </w:r>
    </w:p>
    <w:p>
      <w:pPr>
        <w:pStyle w:val="21"/>
      </w:pPr>
      <w:r>
        <w:t>三是创新开发区管理体制改革。着眼有利于提高开发区经济竞争力的原则要求，坚持与依法行政理念相一致，与政府简政放权相衔接，与现代市场经济相适应，按照事务与权力一体、管理与服务一体的思路，突出产业发展职能，赋予开发区更大的自主发展权、自主改革权、自主创新权，真正将开发区打造成区域经济开放开发主体。</w:t>
      </w:r>
    </w:p>
    <w:p>
      <w:pPr>
        <w:pStyle w:val="21"/>
      </w:pPr>
      <w:r>
        <w:t>四是推进综合行政执法改革。按照中央关于深化市场监管、生态环境保护、文化市场、交通运输、农业等5个领域综合行政执法改革要求，深化综合行政执法改革。继续深入推动城市管理等其他跨领域跨部门综合执法，巩固改革成果，深化改革探索。</w:t>
      </w:r>
    </w:p>
    <w:p>
      <w:pPr>
        <w:pStyle w:val="21"/>
      </w:pPr>
      <w:r>
        <w:t>五是严肃机构编制纪律。贯彻落实中央即将下发的《中国共产党机构编制工作条例》，切实增强机构编制工作严肃性和权威性。开展机构编制问题整改专项检查，建立健全机构编制问题预防机制，严防“条条干预”。加强机构编制实名制管理，规范编制使用管理，优化工作流程，提高办事效率。</w:t>
      </w:r>
    </w:p>
    <w:p>
      <w:pPr>
        <w:pStyle w:val="21"/>
      </w:pPr>
      <w:r>
        <w:t>六是发挥机构编制保障作用。主动适应全市经济社会发展面临的新形势新任务新要求，贯彻落实新发展理念，服务全市中心工作，保障全市发展大局，为新时代邢台创新发展、绿色发展、高质量发展提供体制机制保障。</w:t>
      </w:r>
    </w:p>
    <w:p>
      <w:pPr>
        <w:pStyle w:val="21"/>
      </w:pPr>
      <w:r>
        <w:t>七是全面加强自身建设。市委编办是党的机关、政治机关，必须旗帜鲜明讲政治，在推进机关党的政治建设上狠下功夫。进一步加强编办机关的制度化、规范化建设，加强改进作风，提升工作标准，严格日常管理，构建与管理体制调整变化相适应的制度和管理体系。全面提升全体干部的能力素质，加强干部学习培训和任职交流力度，增强担当履职、能打胜仗的能力。</w:t>
      </w:r>
    </w:p>
    <w:p>
      <w:pPr>
        <w:pStyle w:val="21"/>
      </w:pPr>
    </w:p>
    <w:p>
      <w:pPr>
        <w:pStyle w:val="21"/>
      </w:pPr>
    </w:p>
    <w:p>
      <w:pPr>
        <w:numPr>
          <w:ilvl w:val="0"/>
          <w:numId w:val="2"/>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numId w:val="0"/>
        </w:numPr>
        <w:rPr>
          <w:rFonts w:ascii="方正楷体_GBK" w:hAnsi="方正楷体_GBK" w:eastAsia="方正楷体_GBK" w:cs="方正楷体_GBK"/>
          <w:b/>
          <w:color w:val="000000"/>
          <w:sz w:val="32"/>
        </w:rPr>
      </w:pPr>
    </w:p>
    <w:p>
      <w:pPr>
        <w:numPr>
          <w:numId w:val="0"/>
        </w:numPr>
        <w:rPr>
          <w:rFonts w:hint="eastAsia" w:ascii="方正楷体_GBK" w:hAnsi="方正楷体_GBK" w:eastAsia="方正楷体_GBK" w:cs="方正楷体_GBK"/>
          <w:b/>
          <w:color w:val="000000"/>
          <w:sz w:val="32"/>
          <w:lang w:val="en-US"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val="en-US" w:eastAsia="zh-CN"/>
        </w:rPr>
        <w:t>无</w:t>
      </w:r>
    </w:p>
    <w:p>
      <w:pPr>
        <w:ind w:firstLine="640"/>
        <w:rPr>
          <w:rFonts w:hint="eastAsia" w:eastAsiaTheme="minorEastAsia"/>
          <w:lang w:eastAsia="zh-CN"/>
        </w:rPr>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1、编办事务管理绩效目标表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文件印发数量</w:t>
            </w:r>
          </w:p>
        </w:tc>
        <w:tc>
          <w:tcPr>
            <w:tcW w:w="2835" w:type="dxa"/>
            <w:vAlign w:val="center"/>
          </w:tcPr>
          <w:p>
            <w:pPr>
              <w:pStyle w:val="10"/>
            </w:pPr>
            <w:r>
              <w:t>印发各类机构文件资料的总数量800份</w:t>
            </w:r>
          </w:p>
        </w:tc>
        <w:tc>
          <w:tcPr>
            <w:tcW w:w="2551" w:type="dxa"/>
            <w:vAlign w:val="center"/>
          </w:tcPr>
          <w:p>
            <w:pPr>
              <w:pStyle w:val="10"/>
            </w:pPr>
            <w:r>
              <w:t>≥800份</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文件印发错误率</w:t>
            </w:r>
          </w:p>
        </w:tc>
        <w:tc>
          <w:tcPr>
            <w:tcW w:w="2835" w:type="dxa"/>
            <w:vAlign w:val="center"/>
          </w:tcPr>
          <w:p>
            <w:pPr>
              <w:pStyle w:val="10"/>
            </w:pPr>
            <w:r>
              <w:t>文件出现错误分数/总份数*100%</w:t>
            </w:r>
          </w:p>
        </w:tc>
        <w:tc>
          <w:tcPr>
            <w:tcW w:w="2551" w:type="dxa"/>
            <w:vAlign w:val="center"/>
          </w:tcPr>
          <w:p>
            <w:pPr>
              <w:pStyle w:val="10"/>
            </w:pPr>
            <w:r>
              <w:t>≤1%</w:t>
            </w:r>
          </w:p>
        </w:tc>
        <w:tc>
          <w:tcPr>
            <w:tcW w:w="2268" w:type="dxa"/>
            <w:vAlign w:val="center"/>
          </w:tcPr>
          <w:p>
            <w:pPr>
              <w:pStyle w:val="10"/>
            </w:pPr>
            <w:r>
              <w:t>县委编办文件管理制度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会议召开及时率</w:t>
            </w:r>
          </w:p>
        </w:tc>
        <w:tc>
          <w:tcPr>
            <w:tcW w:w="2835" w:type="dxa"/>
            <w:vAlign w:val="center"/>
          </w:tcPr>
          <w:p>
            <w:pPr>
              <w:pStyle w:val="10"/>
            </w:pPr>
            <w:r>
              <w:t>会议召开时间/会议要求召开时间*100%</w:t>
            </w:r>
          </w:p>
        </w:tc>
        <w:tc>
          <w:tcPr>
            <w:tcW w:w="2551" w:type="dxa"/>
            <w:vAlign w:val="center"/>
          </w:tcPr>
          <w:p>
            <w:pPr>
              <w:pStyle w:val="10"/>
            </w:pPr>
            <w:r>
              <w:t>≥95%</w:t>
            </w:r>
          </w:p>
        </w:tc>
        <w:tc>
          <w:tcPr>
            <w:tcW w:w="2268" w:type="dxa"/>
            <w:vAlign w:val="center"/>
          </w:tcPr>
          <w:p>
            <w:pPr>
              <w:pStyle w:val="10"/>
            </w:pPr>
            <w:r>
              <w:t>县委编办会议制度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机构编制工作对经济保障率</w:t>
            </w:r>
          </w:p>
        </w:tc>
        <w:tc>
          <w:tcPr>
            <w:tcW w:w="2835" w:type="dxa"/>
            <w:vAlign w:val="center"/>
          </w:tcPr>
          <w:p>
            <w:pPr>
              <w:pStyle w:val="10"/>
            </w:pPr>
            <w:r>
              <w:t>机构编制保障天数/全年工作日*100%</w:t>
            </w:r>
          </w:p>
        </w:tc>
        <w:tc>
          <w:tcPr>
            <w:tcW w:w="2551" w:type="dxa"/>
            <w:vAlign w:val="center"/>
          </w:tcPr>
          <w:p>
            <w:pPr>
              <w:pStyle w:val="10"/>
            </w:pPr>
            <w:r>
              <w:t>≥100%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机构编制工作保障率</w:t>
            </w:r>
          </w:p>
        </w:tc>
        <w:tc>
          <w:tcPr>
            <w:tcW w:w="2835" w:type="dxa"/>
            <w:vAlign w:val="center"/>
          </w:tcPr>
          <w:p>
            <w:pPr>
              <w:pStyle w:val="10"/>
            </w:pPr>
            <w:r>
              <w:t>机构编制保障数/机构编制需求数*100%</w:t>
            </w:r>
          </w:p>
        </w:tc>
        <w:tc>
          <w:tcPr>
            <w:tcW w:w="2551" w:type="dxa"/>
            <w:vAlign w:val="center"/>
          </w:tcPr>
          <w:p>
            <w:pPr>
              <w:pStyle w:val="10"/>
            </w:pPr>
            <w:r>
              <w:t>≥90%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提示机构编制工作效能</w:t>
            </w:r>
          </w:p>
        </w:tc>
        <w:tc>
          <w:tcPr>
            <w:tcW w:w="2835" w:type="dxa"/>
            <w:vAlign w:val="center"/>
          </w:tcPr>
          <w:p>
            <w:pPr>
              <w:pStyle w:val="10"/>
            </w:pPr>
            <w:r>
              <w:t>加强机构编制队伍建设，提升工作效能</w:t>
            </w:r>
          </w:p>
        </w:tc>
        <w:tc>
          <w:tcPr>
            <w:tcW w:w="2551" w:type="dxa"/>
            <w:vAlign w:val="center"/>
          </w:tcPr>
          <w:p>
            <w:pPr>
              <w:pStyle w:val="10"/>
            </w:pPr>
            <w:r>
              <w:t>≥30%</w:t>
            </w:r>
          </w:p>
        </w:tc>
        <w:tc>
          <w:tcPr>
            <w:tcW w:w="2268" w:type="dxa"/>
            <w:vAlign w:val="center"/>
          </w:tcPr>
          <w:p>
            <w:pPr>
              <w:pStyle w:val="10"/>
            </w:pPr>
            <w:r>
              <w:t>县委编办2023年工作要点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干部职工满意度</w:t>
            </w:r>
          </w:p>
        </w:tc>
        <w:tc>
          <w:tcPr>
            <w:tcW w:w="2835" w:type="dxa"/>
            <w:vAlign w:val="center"/>
          </w:tcPr>
          <w:p>
            <w:pPr>
              <w:pStyle w:val="10"/>
            </w:pPr>
            <w:r>
              <w:t>干部职工满意度</w:t>
            </w:r>
          </w:p>
        </w:tc>
        <w:tc>
          <w:tcPr>
            <w:tcW w:w="2551" w:type="dxa"/>
            <w:vAlign w:val="center"/>
          </w:tcPr>
          <w:p>
            <w:pPr>
              <w:pStyle w:val="10"/>
            </w:pPr>
            <w:r>
              <w:t>≥95工作人员满意度</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2、促进政府职能转变绩效目标表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督导调研工作次数</w:t>
            </w:r>
          </w:p>
        </w:tc>
        <w:tc>
          <w:tcPr>
            <w:tcW w:w="2835" w:type="dxa"/>
            <w:vAlign w:val="center"/>
          </w:tcPr>
          <w:p>
            <w:pPr>
              <w:pStyle w:val="10"/>
            </w:pPr>
            <w:r>
              <w:t>县直机关及乡镇督导调研工作次数</w:t>
            </w:r>
          </w:p>
        </w:tc>
        <w:tc>
          <w:tcPr>
            <w:tcW w:w="2551" w:type="dxa"/>
            <w:vAlign w:val="center"/>
          </w:tcPr>
          <w:p>
            <w:pPr>
              <w:pStyle w:val="10"/>
            </w:pPr>
            <w:r>
              <w:t>≥5</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检查落实率</w:t>
            </w:r>
          </w:p>
        </w:tc>
        <w:tc>
          <w:tcPr>
            <w:tcW w:w="2835" w:type="dxa"/>
            <w:vAlign w:val="center"/>
          </w:tcPr>
          <w:p>
            <w:pPr>
              <w:pStyle w:val="10"/>
            </w:pPr>
            <w:r>
              <w:t>检查次数/计划检查次数*100%</w:t>
            </w:r>
          </w:p>
        </w:tc>
        <w:tc>
          <w:tcPr>
            <w:tcW w:w="2551" w:type="dxa"/>
            <w:vAlign w:val="center"/>
          </w:tcPr>
          <w:p>
            <w:pPr>
              <w:pStyle w:val="10"/>
            </w:pPr>
            <w:r>
              <w:t>100%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文件印发及时率</w:t>
            </w:r>
          </w:p>
        </w:tc>
        <w:tc>
          <w:tcPr>
            <w:tcW w:w="2835" w:type="dxa"/>
            <w:vAlign w:val="center"/>
          </w:tcPr>
          <w:p>
            <w:pPr>
              <w:pStyle w:val="10"/>
            </w:pPr>
            <w:r>
              <w:t>文件及时印发的数量/印发文件总数量*100%</w:t>
            </w:r>
          </w:p>
        </w:tc>
        <w:tc>
          <w:tcPr>
            <w:tcW w:w="2551" w:type="dxa"/>
            <w:vAlign w:val="center"/>
          </w:tcPr>
          <w:p>
            <w:pPr>
              <w:pStyle w:val="10"/>
            </w:pPr>
            <w:r>
              <w:t>≥98%</w:t>
            </w:r>
          </w:p>
        </w:tc>
        <w:tc>
          <w:tcPr>
            <w:tcW w:w="2268" w:type="dxa"/>
            <w:vAlign w:val="center"/>
          </w:tcPr>
          <w:p>
            <w:pPr>
              <w:pStyle w:val="10"/>
            </w:pPr>
            <w:r>
              <w:t>规定时间完成的工作占比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促进政府职能转变对经济保障率</w:t>
            </w:r>
          </w:p>
        </w:tc>
        <w:tc>
          <w:tcPr>
            <w:tcW w:w="2835" w:type="dxa"/>
            <w:vAlign w:val="center"/>
          </w:tcPr>
          <w:p>
            <w:pPr>
              <w:pStyle w:val="10"/>
            </w:pPr>
            <w:r>
              <w:t>促进政府职能转变保障天数/全年工作日*100%</w:t>
            </w:r>
          </w:p>
        </w:tc>
        <w:tc>
          <w:tcPr>
            <w:tcW w:w="2551" w:type="dxa"/>
            <w:vAlign w:val="center"/>
          </w:tcPr>
          <w:p>
            <w:pPr>
              <w:pStyle w:val="10"/>
            </w:pPr>
            <w:r>
              <w:t>100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促进政府职能转变提高机关工作效率</w:t>
            </w:r>
          </w:p>
        </w:tc>
        <w:tc>
          <w:tcPr>
            <w:tcW w:w="2835" w:type="dxa"/>
            <w:vAlign w:val="center"/>
          </w:tcPr>
          <w:p>
            <w:pPr>
              <w:pStyle w:val="10"/>
            </w:pPr>
            <w:r>
              <w:t>促进政府职能转变提高机关工作效率</w:t>
            </w:r>
          </w:p>
        </w:tc>
        <w:tc>
          <w:tcPr>
            <w:tcW w:w="2551" w:type="dxa"/>
            <w:vAlign w:val="center"/>
          </w:tcPr>
          <w:p>
            <w:pPr>
              <w:pStyle w:val="10"/>
            </w:pPr>
            <w:r>
              <w:t>&gt;20%</w:t>
            </w:r>
          </w:p>
        </w:tc>
        <w:tc>
          <w:tcPr>
            <w:tcW w:w="2268" w:type="dxa"/>
            <w:vAlign w:val="center"/>
          </w:tcPr>
          <w:p>
            <w:pPr>
              <w:pStyle w:val="10"/>
            </w:pPr>
            <w:r>
              <w:t>对工作的稳定起到长期作用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社会影响力</w:t>
            </w:r>
          </w:p>
        </w:tc>
        <w:tc>
          <w:tcPr>
            <w:tcW w:w="2835" w:type="dxa"/>
            <w:vAlign w:val="center"/>
          </w:tcPr>
          <w:p>
            <w:pPr>
              <w:pStyle w:val="10"/>
            </w:pPr>
            <w:r>
              <w:t>反映政府职能转变后的影响力，是否使得地区政府职能更加科学</w:t>
            </w:r>
          </w:p>
        </w:tc>
        <w:tc>
          <w:tcPr>
            <w:tcW w:w="2551" w:type="dxa"/>
            <w:vAlign w:val="center"/>
          </w:tcPr>
          <w:p>
            <w:pPr>
              <w:pStyle w:val="10"/>
            </w:pPr>
            <w:r>
              <w:t>≥95</w:t>
            </w:r>
          </w:p>
        </w:tc>
        <w:tc>
          <w:tcPr>
            <w:tcW w:w="2268" w:type="dxa"/>
            <w:vAlign w:val="center"/>
          </w:tcPr>
          <w:p>
            <w:pPr>
              <w:pStyle w:val="10"/>
            </w:pPr>
            <w:r>
              <w:t>对工作的稳定起到长期作用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≥95工作人员满意度</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3、机构编制管理绩效目标表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召开全年会议的次数</w:t>
            </w:r>
          </w:p>
        </w:tc>
        <w:tc>
          <w:tcPr>
            <w:tcW w:w="2835" w:type="dxa"/>
            <w:vAlign w:val="center"/>
          </w:tcPr>
          <w:p>
            <w:pPr>
              <w:pStyle w:val="10"/>
            </w:pPr>
            <w:r>
              <w:t>召开全年会议的次数</w:t>
            </w:r>
          </w:p>
        </w:tc>
        <w:tc>
          <w:tcPr>
            <w:tcW w:w="2551" w:type="dxa"/>
            <w:vAlign w:val="center"/>
          </w:tcPr>
          <w:p>
            <w:pPr>
              <w:pStyle w:val="10"/>
            </w:pPr>
            <w:r>
              <w:t>≥10次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召开业务培训的次数</w:t>
            </w:r>
          </w:p>
        </w:tc>
        <w:tc>
          <w:tcPr>
            <w:tcW w:w="2835" w:type="dxa"/>
            <w:vAlign w:val="center"/>
          </w:tcPr>
          <w:p>
            <w:pPr>
              <w:pStyle w:val="10"/>
            </w:pPr>
            <w:r>
              <w:t>召开业务培训的次数</w:t>
            </w:r>
          </w:p>
        </w:tc>
        <w:tc>
          <w:tcPr>
            <w:tcW w:w="2551" w:type="dxa"/>
            <w:vAlign w:val="center"/>
          </w:tcPr>
          <w:p>
            <w:pPr>
              <w:pStyle w:val="10"/>
            </w:pPr>
            <w:r>
              <w:t>≥3次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督导调研的次数</w:t>
            </w:r>
          </w:p>
        </w:tc>
        <w:tc>
          <w:tcPr>
            <w:tcW w:w="2835" w:type="dxa"/>
            <w:vAlign w:val="center"/>
          </w:tcPr>
          <w:p>
            <w:pPr>
              <w:pStyle w:val="10"/>
            </w:pPr>
            <w:r>
              <w:t>县直机关乡镇督导调研的次数</w:t>
            </w:r>
          </w:p>
        </w:tc>
        <w:tc>
          <w:tcPr>
            <w:tcW w:w="2551" w:type="dxa"/>
            <w:vAlign w:val="center"/>
          </w:tcPr>
          <w:p>
            <w:pPr>
              <w:pStyle w:val="10"/>
            </w:pPr>
            <w:r>
              <w:t>≥8次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单位事故发生率</w:t>
            </w:r>
          </w:p>
        </w:tc>
        <w:tc>
          <w:tcPr>
            <w:tcW w:w="2835" w:type="dxa"/>
            <w:vAlign w:val="center"/>
          </w:tcPr>
          <w:p>
            <w:pPr>
              <w:pStyle w:val="10"/>
            </w:pPr>
            <w:r>
              <w:t>单位事故发生天数/全年书*100%</w:t>
            </w:r>
          </w:p>
        </w:tc>
        <w:tc>
          <w:tcPr>
            <w:tcW w:w="2551" w:type="dxa"/>
            <w:vAlign w:val="center"/>
          </w:tcPr>
          <w:p>
            <w:pPr>
              <w:pStyle w:val="10"/>
            </w:pPr>
            <w:r>
              <w:t>&lt;1%</w:t>
            </w:r>
          </w:p>
        </w:tc>
        <w:tc>
          <w:tcPr>
            <w:tcW w:w="2268" w:type="dxa"/>
            <w:vAlign w:val="center"/>
          </w:tcPr>
          <w:p>
            <w:pPr>
              <w:pStyle w:val="10"/>
            </w:pPr>
            <w:r>
              <w:t>平安建设考核要求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精神文明单位考核等级</w:t>
            </w:r>
          </w:p>
        </w:tc>
        <w:tc>
          <w:tcPr>
            <w:tcW w:w="2835" w:type="dxa"/>
            <w:vAlign w:val="center"/>
          </w:tcPr>
          <w:p>
            <w:pPr>
              <w:pStyle w:val="10"/>
            </w:pPr>
            <w:r>
              <w:t>精神文明单位考核等次</w:t>
            </w:r>
          </w:p>
        </w:tc>
        <w:tc>
          <w:tcPr>
            <w:tcW w:w="2551" w:type="dxa"/>
            <w:vAlign w:val="center"/>
          </w:tcPr>
          <w:p>
            <w:pPr>
              <w:pStyle w:val="10"/>
            </w:pPr>
            <w:r>
              <w:t>良以上等次</w:t>
            </w:r>
          </w:p>
        </w:tc>
        <w:tc>
          <w:tcPr>
            <w:tcW w:w="2268" w:type="dxa"/>
            <w:vAlign w:val="center"/>
          </w:tcPr>
          <w:p>
            <w:pPr>
              <w:pStyle w:val="10"/>
            </w:pPr>
            <w:r>
              <w:t>邢台市2021年精神文明创建工作要点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机构编制工作持续性</w:t>
            </w:r>
          </w:p>
        </w:tc>
        <w:tc>
          <w:tcPr>
            <w:tcW w:w="2835" w:type="dxa"/>
            <w:vAlign w:val="center"/>
          </w:tcPr>
          <w:p>
            <w:pPr>
              <w:pStyle w:val="10"/>
            </w:pPr>
            <w:r>
              <w:t>机构编制工作顺利开展天数/全年工作日*100%</w:t>
            </w:r>
          </w:p>
        </w:tc>
        <w:tc>
          <w:tcPr>
            <w:tcW w:w="2551" w:type="dxa"/>
            <w:vAlign w:val="center"/>
          </w:tcPr>
          <w:p>
            <w:pPr>
              <w:pStyle w:val="10"/>
            </w:pPr>
            <w:r>
              <w:t>100%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满意率</w:t>
            </w:r>
          </w:p>
        </w:tc>
        <w:tc>
          <w:tcPr>
            <w:tcW w:w="2835" w:type="dxa"/>
            <w:vAlign w:val="center"/>
          </w:tcPr>
          <w:p>
            <w:pPr>
              <w:pStyle w:val="10"/>
            </w:pPr>
            <w:r>
              <w:t>满意率</w:t>
            </w:r>
          </w:p>
        </w:tc>
        <w:tc>
          <w:tcPr>
            <w:tcW w:w="2551" w:type="dxa"/>
            <w:vAlign w:val="center"/>
          </w:tcPr>
          <w:p>
            <w:pPr>
              <w:pStyle w:val="10"/>
            </w:pPr>
            <w:r>
              <w:t>≥95</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4、行政管理体制改革绩效目标表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召开全年会议的次数</w:t>
            </w:r>
          </w:p>
        </w:tc>
        <w:tc>
          <w:tcPr>
            <w:tcW w:w="2835" w:type="dxa"/>
            <w:vAlign w:val="center"/>
          </w:tcPr>
          <w:p>
            <w:pPr>
              <w:pStyle w:val="10"/>
            </w:pPr>
            <w:r>
              <w:t>召开全年会议的次数</w:t>
            </w:r>
          </w:p>
        </w:tc>
        <w:tc>
          <w:tcPr>
            <w:tcW w:w="2551" w:type="dxa"/>
            <w:vAlign w:val="center"/>
          </w:tcPr>
          <w:p>
            <w:pPr>
              <w:pStyle w:val="10"/>
            </w:pPr>
            <w:r>
              <w:t>≥10次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召开业务培训的次数</w:t>
            </w:r>
          </w:p>
        </w:tc>
        <w:tc>
          <w:tcPr>
            <w:tcW w:w="2835" w:type="dxa"/>
            <w:vAlign w:val="center"/>
          </w:tcPr>
          <w:p>
            <w:pPr>
              <w:pStyle w:val="10"/>
            </w:pPr>
            <w:r>
              <w:t>召开业务培训的次数</w:t>
            </w:r>
          </w:p>
        </w:tc>
        <w:tc>
          <w:tcPr>
            <w:tcW w:w="2551" w:type="dxa"/>
            <w:vAlign w:val="center"/>
          </w:tcPr>
          <w:p>
            <w:pPr>
              <w:pStyle w:val="10"/>
            </w:pPr>
            <w:r>
              <w:t>≥3次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督导调研的次数</w:t>
            </w:r>
          </w:p>
        </w:tc>
        <w:tc>
          <w:tcPr>
            <w:tcW w:w="2835" w:type="dxa"/>
            <w:vAlign w:val="center"/>
          </w:tcPr>
          <w:p>
            <w:pPr>
              <w:pStyle w:val="10"/>
            </w:pPr>
            <w:r>
              <w:t>县直机关乡镇督导调研的次数</w:t>
            </w:r>
          </w:p>
        </w:tc>
        <w:tc>
          <w:tcPr>
            <w:tcW w:w="2551" w:type="dxa"/>
            <w:vAlign w:val="center"/>
          </w:tcPr>
          <w:p>
            <w:pPr>
              <w:pStyle w:val="10"/>
            </w:pPr>
            <w:r>
              <w:t>≥8次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单位事故发生率</w:t>
            </w:r>
          </w:p>
        </w:tc>
        <w:tc>
          <w:tcPr>
            <w:tcW w:w="2835" w:type="dxa"/>
            <w:vAlign w:val="center"/>
          </w:tcPr>
          <w:p>
            <w:pPr>
              <w:pStyle w:val="10"/>
            </w:pPr>
            <w:r>
              <w:t>单位事故发生天数/全年书*100%</w:t>
            </w:r>
          </w:p>
        </w:tc>
        <w:tc>
          <w:tcPr>
            <w:tcW w:w="2551" w:type="dxa"/>
            <w:vAlign w:val="center"/>
          </w:tcPr>
          <w:p>
            <w:pPr>
              <w:pStyle w:val="10"/>
            </w:pPr>
            <w:r>
              <w:t>&lt;1%</w:t>
            </w:r>
          </w:p>
        </w:tc>
        <w:tc>
          <w:tcPr>
            <w:tcW w:w="2268" w:type="dxa"/>
            <w:vAlign w:val="center"/>
          </w:tcPr>
          <w:p>
            <w:pPr>
              <w:pStyle w:val="10"/>
            </w:pPr>
            <w:r>
              <w:t>平安建设考核要求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精神文明单位考核等级</w:t>
            </w:r>
          </w:p>
        </w:tc>
        <w:tc>
          <w:tcPr>
            <w:tcW w:w="2835" w:type="dxa"/>
            <w:vAlign w:val="center"/>
          </w:tcPr>
          <w:p>
            <w:pPr>
              <w:pStyle w:val="10"/>
            </w:pPr>
            <w:r>
              <w:t>精神文明单位考核等次</w:t>
            </w:r>
          </w:p>
        </w:tc>
        <w:tc>
          <w:tcPr>
            <w:tcW w:w="2551" w:type="dxa"/>
            <w:vAlign w:val="center"/>
          </w:tcPr>
          <w:p>
            <w:pPr>
              <w:pStyle w:val="10"/>
            </w:pPr>
            <w:r>
              <w:t>良以上等次</w:t>
            </w:r>
          </w:p>
        </w:tc>
        <w:tc>
          <w:tcPr>
            <w:tcW w:w="2268" w:type="dxa"/>
            <w:vAlign w:val="center"/>
          </w:tcPr>
          <w:p>
            <w:pPr>
              <w:pStyle w:val="10"/>
            </w:pPr>
            <w:r>
              <w:t>邢台市2021年精神文明创建工作要点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机构编制工作持续性</w:t>
            </w:r>
          </w:p>
        </w:tc>
        <w:tc>
          <w:tcPr>
            <w:tcW w:w="2835" w:type="dxa"/>
            <w:vAlign w:val="center"/>
          </w:tcPr>
          <w:p>
            <w:pPr>
              <w:pStyle w:val="10"/>
            </w:pPr>
            <w:r>
              <w:t>机构编制工作顺利开展天数/全年工作日*100%</w:t>
            </w:r>
          </w:p>
        </w:tc>
        <w:tc>
          <w:tcPr>
            <w:tcW w:w="2551" w:type="dxa"/>
            <w:vAlign w:val="center"/>
          </w:tcPr>
          <w:p>
            <w:pPr>
              <w:pStyle w:val="10"/>
            </w:pPr>
            <w:r>
              <w:t>100%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满意率</w:t>
            </w:r>
          </w:p>
        </w:tc>
        <w:tc>
          <w:tcPr>
            <w:tcW w:w="2835" w:type="dxa"/>
            <w:vAlign w:val="center"/>
          </w:tcPr>
          <w:p>
            <w:pPr>
              <w:pStyle w:val="10"/>
            </w:pPr>
            <w:r>
              <w:t>满意率</w:t>
            </w:r>
          </w:p>
        </w:tc>
        <w:tc>
          <w:tcPr>
            <w:tcW w:w="2551" w:type="dxa"/>
            <w:vAlign w:val="center"/>
          </w:tcPr>
          <w:p>
            <w:pPr>
              <w:pStyle w:val="10"/>
            </w:pPr>
            <w:r>
              <w:t>≥95</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5、中文域名管理注册管理绩效目标表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中文域名注册总数量与事业单位登记一致。</w:t>
            </w:r>
          </w:p>
        </w:tc>
        <w:tc>
          <w:tcPr>
            <w:tcW w:w="2835" w:type="dxa"/>
            <w:vAlign w:val="center"/>
          </w:tcPr>
          <w:p>
            <w:pPr>
              <w:pStyle w:val="10"/>
            </w:pPr>
            <w:r>
              <w:t>中文域名注册总数量与事业单位登记一致。</w:t>
            </w:r>
          </w:p>
        </w:tc>
        <w:tc>
          <w:tcPr>
            <w:tcW w:w="2551" w:type="dxa"/>
            <w:vAlign w:val="center"/>
          </w:tcPr>
          <w:p>
            <w:pPr>
              <w:pStyle w:val="10"/>
            </w:pPr>
            <w:r>
              <w:t>≥100%</w:t>
            </w:r>
          </w:p>
        </w:tc>
        <w:tc>
          <w:tcPr>
            <w:tcW w:w="2268" w:type="dxa"/>
            <w:vAlign w:val="center"/>
          </w:tcPr>
          <w:p>
            <w:pPr>
              <w:pStyle w:val="10"/>
            </w:pPr>
            <w:r>
              <w:t>省委编办关于将中文域名注册纳入财政同意支付的函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中文域名注册率</w:t>
            </w:r>
          </w:p>
        </w:tc>
        <w:tc>
          <w:tcPr>
            <w:tcW w:w="2835" w:type="dxa"/>
            <w:vAlign w:val="center"/>
          </w:tcPr>
          <w:p>
            <w:pPr>
              <w:pStyle w:val="10"/>
            </w:pPr>
            <w:r>
              <w:t>中文域名注册总数量与事业单位登记一致。</w:t>
            </w:r>
          </w:p>
        </w:tc>
        <w:tc>
          <w:tcPr>
            <w:tcW w:w="2551" w:type="dxa"/>
            <w:vAlign w:val="center"/>
          </w:tcPr>
          <w:p>
            <w:pPr>
              <w:pStyle w:val="10"/>
            </w:pPr>
            <w:r>
              <w:t>≥90%</w:t>
            </w:r>
          </w:p>
        </w:tc>
        <w:tc>
          <w:tcPr>
            <w:tcW w:w="2268" w:type="dxa"/>
            <w:vAlign w:val="center"/>
          </w:tcPr>
          <w:p>
            <w:pPr>
              <w:pStyle w:val="10"/>
            </w:pPr>
            <w:r>
              <w:t>省委编办关于将中文域名注册纳入财政同意支付的函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中文域名注册及时率</w:t>
            </w:r>
          </w:p>
        </w:tc>
        <w:tc>
          <w:tcPr>
            <w:tcW w:w="2835" w:type="dxa"/>
            <w:vAlign w:val="center"/>
          </w:tcPr>
          <w:p>
            <w:pPr>
              <w:pStyle w:val="10"/>
            </w:pPr>
            <w:r>
              <w:t>中文域名注册按照时间节点内及时完成续费工作</w:t>
            </w:r>
          </w:p>
        </w:tc>
        <w:tc>
          <w:tcPr>
            <w:tcW w:w="2551" w:type="dxa"/>
            <w:vAlign w:val="center"/>
          </w:tcPr>
          <w:p>
            <w:pPr>
              <w:pStyle w:val="10"/>
            </w:pPr>
            <w:r>
              <w:t>≥95%</w:t>
            </w:r>
          </w:p>
        </w:tc>
        <w:tc>
          <w:tcPr>
            <w:tcW w:w="2268" w:type="dxa"/>
            <w:vAlign w:val="center"/>
          </w:tcPr>
          <w:p>
            <w:pPr>
              <w:pStyle w:val="10"/>
            </w:pPr>
            <w:r>
              <w:t>省委编办关于将中文域名注册纳入财政同意支付的函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中文域名网站运行的维护成本降低</w:t>
            </w:r>
          </w:p>
        </w:tc>
        <w:tc>
          <w:tcPr>
            <w:tcW w:w="2835" w:type="dxa"/>
            <w:vAlign w:val="center"/>
          </w:tcPr>
          <w:p>
            <w:pPr>
              <w:pStyle w:val="10"/>
            </w:pPr>
            <w:r>
              <w:t>中文域名网站运行投入成本/非中文网站运行维护投入成本*100%</w:t>
            </w:r>
          </w:p>
        </w:tc>
        <w:tc>
          <w:tcPr>
            <w:tcW w:w="2551" w:type="dxa"/>
            <w:vAlign w:val="center"/>
          </w:tcPr>
          <w:p>
            <w:pPr>
              <w:pStyle w:val="10"/>
            </w:pPr>
            <w:r>
              <w:t>≤30%</w:t>
            </w:r>
          </w:p>
        </w:tc>
        <w:tc>
          <w:tcPr>
            <w:tcW w:w="2268" w:type="dxa"/>
            <w:vAlign w:val="center"/>
          </w:tcPr>
          <w:p>
            <w:pPr>
              <w:pStyle w:val="10"/>
            </w:pPr>
            <w:r>
              <w:t>省委编办关于将中文域名注册纳入财政同意支付的函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中文域名正常使用率</w:t>
            </w:r>
          </w:p>
        </w:tc>
        <w:tc>
          <w:tcPr>
            <w:tcW w:w="2835" w:type="dxa"/>
            <w:vAlign w:val="center"/>
          </w:tcPr>
          <w:p>
            <w:pPr>
              <w:pStyle w:val="10"/>
            </w:pPr>
            <w:r>
              <w:t>项目实施后行政机关失业单位域名注册率</w:t>
            </w:r>
          </w:p>
        </w:tc>
        <w:tc>
          <w:tcPr>
            <w:tcW w:w="2551" w:type="dxa"/>
            <w:vAlign w:val="center"/>
          </w:tcPr>
          <w:p>
            <w:pPr>
              <w:pStyle w:val="10"/>
            </w:pPr>
            <w:r>
              <w:t>≥100%</w:t>
            </w:r>
          </w:p>
        </w:tc>
        <w:tc>
          <w:tcPr>
            <w:tcW w:w="2268" w:type="dxa"/>
            <w:vAlign w:val="center"/>
          </w:tcPr>
          <w:p>
            <w:pPr>
              <w:pStyle w:val="10"/>
            </w:pPr>
            <w:r>
              <w:t>项目实施后行政机关失业单位域名注册率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社会影响力</w:t>
            </w:r>
          </w:p>
        </w:tc>
        <w:tc>
          <w:tcPr>
            <w:tcW w:w="2835" w:type="dxa"/>
            <w:vAlign w:val="center"/>
          </w:tcPr>
          <w:p>
            <w:pPr>
              <w:pStyle w:val="10"/>
            </w:pPr>
            <w:r>
              <w:t>提高行政机关事业单位域名使用率</w:t>
            </w:r>
          </w:p>
        </w:tc>
        <w:tc>
          <w:tcPr>
            <w:tcW w:w="2551" w:type="dxa"/>
            <w:vAlign w:val="center"/>
          </w:tcPr>
          <w:p>
            <w:pPr>
              <w:pStyle w:val="10"/>
            </w:pPr>
            <w:r>
              <w:t>≥95%</w:t>
            </w:r>
          </w:p>
        </w:tc>
        <w:tc>
          <w:tcPr>
            <w:tcW w:w="2268" w:type="dxa"/>
            <w:vAlign w:val="center"/>
          </w:tcPr>
          <w:p>
            <w:pPr>
              <w:pStyle w:val="10"/>
            </w:pPr>
            <w:r>
              <w:t>提高行政机关事业单位域名使用率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中文域名注册单位满意度</w:t>
            </w:r>
          </w:p>
        </w:tc>
        <w:tc>
          <w:tcPr>
            <w:tcW w:w="2835" w:type="dxa"/>
            <w:vAlign w:val="center"/>
          </w:tcPr>
          <w:p>
            <w:pPr>
              <w:pStyle w:val="10"/>
            </w:pPr>
            <w:r>
              <w:t>中文域名注册单位满意度</w:t>
            </w:r>
          </w:p>
        </w:tc>
        <w:tc>
          <w:tcPr>
            <w:tcW w:w="2551" w:type="dxa"/>
            <w:vAlign w:val="center"/>
          </w:tcPr>
          <w:p>
            <w:pPr>
              <w:pStyle w:val="10"/>
            </w:pPr>
            <w:r>
              <w:t>≥95%</w:t>
            </w:r>
          </w:p>
        </w:tc>
        <w:tc>
          <w:tcPr>
            <w:tcW w:w="2268" w:type="dxa"/>
            <w:vAlign w:val="center"/>
          </w:tcPr>
          <w:p>
            <w:pPr>
              <w:pStyle w:val="10"/>
            </w:pPr>
            <w:r>
              <w:t>中文域名注册单位满意度</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2023年，内丘县机构编制委员会办公室安排政府采购预算0.00万元。具体内容见下表。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3"/>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8676"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2"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rPr>
          <w:rFonts w:hint="eastAsia" w:eastAsiaTheme="minorEastAsia"/>
          <w:color w:val="000000"/>
          <w:sz w:val="28"/>
          <w:lang w:eastAsia="zh-CN"/>
        </w:rPr>
      </w:pPr>
      <w:r>
        <w:rPr>
          <w:rFonts w:eastAsia="方正仿宋_GBK"/>
          <w:color w:val="000000"/>
          <w:sz w:val="28"/>
        </w:rPr>
        <w:t>内丘县机构编制委员会办公室（含所属单位）上年末固定资产金额为</w:t>
      </w:r>
      <w:r>
        <w:rPr>
          <w:rFonts w:hint="eastAsia" w:eastAsiaTheme="minorEastAsia"/>
          <w:color w:val="000000"/>
          <w:sz w:val="28"/>
          <w:lang w:eastAsia="zh-CN"/>
        </w:rPr>
        <w:t>28.68</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3"/>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374内丘县机构编制委员会办公室</w:t>
            </w:r>
          </w:p>
        </w:tc>
        <w:tc>
          <w:tcPr>
            <w:tcW w:w="5670" w:type="dxa"/>
            <w:gridSpan w:val="2"/>
            <w:tcBorders>
              <w:top w:val="single" w:color="FFFFFF" w:sz="6" w:space="0"/>
              <w:left w:val="single" w:color="FFFFFF" w:sz="6" w:space="0"/>
              <w:right w:val="single" w:color="FFFFFF" w:sz="6" w:space="0"/>
            </w:tcBorders>
            <w:vAlign w:val="center"/>
          </w:tcPr>
          <w:p>
            <w:pPr>
              <w:pStyle w:val="5"/>
            </w:pPr>
            <w:r>
              <w:t>截止时间：202</w:t>
            </w:r>
            <w:r>
              <w:rPr>
                <w:rFonts w:hint="eastAsia" w:eastAsiaTheme="minorEastAsia"/>
                <w:lang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11"/>
            </w:pPr>
          </w:p>
        </w:tc>
        <w:tc>
          <w:tcPr>
            <w:tcW w:w="2835" w:type="dxa"/>
            <w:vAlign w:val="center"/>
          </w:tcPr>
          <w:p>
            <w:pPr>
              <w:pStyle w:val="9"/>
              <w:rPr>
                <w:rFonts w:hint="eastAsia" w:eastAsiaTheme="minorEastAsia"/>
                <w:lang w:eastAsia="zh-CN"/>
              </w:rPr>
            </w:pPr>
            <w:r>
              <w:rPr>
                <w:rFonts w:hint="eastAsia" w:eastAsiaTheme="minorEastAsia"/>
                <w:lang w:eastAsia="zh-CN"/>
              </w:rPr>
              <w:t>28.68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1、房屋（平方米）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11"/>
            </w:pPr>
            <w:r>
              <w:t>1</w:t>
            </w:r>
          </w:p>
        </w:tc>
        <w:tc>
          <w:tcPr>
            <w:tcW w:w="2835" w:type="dxa"/>
            <w:vAlign w:val="center"/>
          </w:tcPr>
          <w:p>
            <w:pPr>
              <w:pStyle w:val="9"/>
            </w:pPr>
            <w:r>
              <w:t>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4、其他固定资产</w:t>
            </w:r>
          </w:p>
        </w:tc>
        <w:tc>
          <w:tcPr>
            <w:tcW w:w="2835" w:type="dxa"/>
            <w:vAlign w:val="center"/>
          </w:tcPr>
          <w:p>
            <w:pPr>
              <w:pStyle w:val="11"/>
              <w:rPr>
                <w:rFonts w:hint="eastAsia" w:eastAsiaTheme="minorEastAsia"/>
                <w:lang w:eastAsia="zh-CN"/>
              </w:rPr>
            </w:pPr>
          </w:p>
        </w:tc>
        <w:tc>
          <w:tcPr>
            <w:tcW w:w="2835" w:type="dxa"/>
            <w:vAlign w:val="center"/>
          </w:tcPr>
          <w:p>
            <w:pPr>
              <w:pStyle w:val="9"/>
              <w:rPr>
                <w:rFonts w:hint="eastAsia" w:eastAsiaTheme="minorEastAsia"/>
                <w:lang w:eastAsia="zh-CN"/>
              </w:rPr>
            </w:pPr>
            <w:r>
              <w:t>21.5</w:t>
            </w:r>
            <w:r>
              <w:rPr>
                <w:rFonts w:hint="eastAsia" w:eastAsiaTheme="minorEastAsia"/>
                <w:lang w:eastAsia="zh-CN"/>
              </w:rPr>
              <w:t>3</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bookmarkStart w:id="18" w:name="_GoBack"/>
      <w:bookmarkEnd w:id="18"/>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9ABC6D"/>
    <w:multiLevelType w:val="singleLevel"/>
    <w:tmpl w:val="D09ABC6D"/>
    <w:lvl w:ilvl="0" w:tentative="0">
      <w:start w:val="2"/>
      <w:numFmt w:val="chineseCounting"/>
      <w:suff w:val="space"/>
      <w:lvlText w:val="第%1部分"/>
      <w:lvlJc w:val="left"/>
      <w:rPr>
        <w:rFonts w:hint="eastAsia"/>
      </w:rPr>
    </w:lvl>
  </w:abstractNum>
  <w:abstractNum w:abstractNumId="1">
    <w:nsid w:val="539A0CE3"/>
    <w:multiLevelType w:val="multilevel"/>
    <w:tmpl w:val="539A0CE3"/>
    <w:lvl w:ilvl="0" w:tentative="0">
      <w:start w:val="1"/>
      <w:numFmt w:val="decimal"/>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40"/>
    <w:rsid w:val="004E7896"/>
    <w:rsid w:val="004F6821"/>
    <w:rsid w:val="007B7D74"/>
    <w:rsid w:val="00A54206"/>
    <w:rsid w:val="00E00BC9"/>
    <w:rsid w:val="00E173EB"/>
    <w:rsid w:val="00F42A40"/>
    <w:rsid w:val="00FD59BC"/>
    <w:rsid w:val="5F6E2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插入文本样式-插入单位职责文件"/>
    <w:basedOn w:val="1"/>
    <w:qFormat/>
    <w:uiPriority w:val="0"/>
    <w:pPr>
      <w:spacing w:line="500" w:lineRule="exact"/>
      <w:ind w:firstLine="560"/>
    </w:pPr>
    <w:rPr>
      <w:rFonts w:eastAsia="方正仿宋_GBK"/>
      <w:sz w:val="28"/>
    </w:rPr>
  </w:style>
  <w:style w:type="paragraph" w:customStyle="1" w:styleId="2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TOC 2"/>
    <w:basedOn w:val="1"/>
    <w:qFormat/>
    <w:uiPriority w:val="0"/>
    <w:pPr>
      <w:ind w:left="240"/>
    </w:pPr>
  </w:style>
  <w:style w:type="paragraph" w:customStyle="1" w:styleId="28">
    <w:name w:val="TOC 3"/>
    <w:basedOn w:val="1"/>
    <w:qFormat/>
    <w:uiPriority w:val="0"/>
    <w:pPr>
      <w:ind w:left="480"/>
    </w:pPr>
  </w:style>
  <w:style w:type="paragraph" w:customStyle="1" w:styleId="29">
    <w:name w:val="TOC 4"/>
    <w:basedOn w:val="1"/>
    <w:qFormat/>
    <w:uiPriority w:val="0"/>
    <w:pPr>
      <w:ind w:left="720"/>
    </w:pPr>
  </w:style>
  <w:style w:type="paragraph" w:customStyle="1" w:styleId="30">
    <w:name w:val="TOC 1"/>
    <w:basedOn w:val="1"/>
    <w:qFormat/>
    <w:uiPriority w:val="0"/>
    <w:pPr>
      <w:spacing w:before="120"/>
      <w:ind w:firstLine="560"/>
    </w:pPr>
    <w:rPr>
      <w:rFonts w:eastAsia="方正仿宋_GBK"/>
      <w:color w:val="000000"/>
      <w:sz w:val="28"/>
    </w:r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2023-02-02T14:43:28Z</dcterms:created>
  <dcterms:modified xsi:type="dcterms:W3CDTF">2023-02-02T06:43:28Z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2023-02-02T14:43:28Z</dcterms:created>
  <dcterms:modified xsi:type="dcterms:W3CDTF">2023-02-02T06:43:28Z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2023-02-02T14:43:23Z</dcterms:created>
  <dcterms:modified xsi:type="dcterms:W3CDTF">2023-02-02T06:43:23Z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2023-02-02T14:43:28Z</dcterms:created>
  <dcterms:modified xsi:type="dcterms:W3CDTF">2023-02-02T06:43:28Z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2023-02-02T14:43:28Z</dcterms:created>
  <dcterms:modified xsi:type="dcterms:W3CDTF">2023-02-02T06:43:28Z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2023-02-02T14:43:24Z</dcterms:created>
  <dcterms:modified xsi:type="dcterms:W3CDTF">2023-02-02T06:43:24Z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2023-02-02T14:43:24Z</dcterms:created>
  <dcterms:modified xsi:type="dcterms:W3CDTF">2023-02-02T06:43:24Z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2023-02-02T14:43:23Z</dcterms:created>
  <dcterms:modified xsi:type="dcterms:W3CDTF">2023-02-02T06:43:22Z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2023-02-02T14:43:29Z</dcterms:created>
  <dcterms:modified xsi:type="dcterms:W3CDTF">2023-02-02T06:43:29Z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2023-02-02T14:43:27Z</dcterms:created>
  <dcterms:modified xsi:type="dcterms:W3CDTF">2023-02-02T06:43:27Z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2023-02-02T14:43:23Z</dcterms:created>
  <dcterms:modified xsi:type="dcterms:W3CDTF">2023-02-02T06:43:23Z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2023-02-02T14:43:24Z</dcterms:created>
  <dcterms:modified xsi:type="dcterms:W3CDTF">2023-02-02T06:43:24Z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2023-02-02T14:43:23Z</dcterms:created>
  <dcterms:modified xsi:type="dcterms:W3CDTF">2023-02-02T06:43:23Z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2023-02-02T14:43:28Z</dcterms:created>
  <dcterms:modified xsi:type="dcterms:W3CDTF">2023-02-02T06:43:28Z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2023-02-02T14:43:23Z</dcterms:created>
  <dcterms:modified xsi:type="dcterms:W3CDTF">2023-02-02T06:43:23Z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FE7BFF2-2410-4443-884B-4855A11DFC07}">
  <ds:schemaRefs/>
</ds:datastoreItem>
</file>

<file path=customXml/itemProps11.xml><?xml version="1.0" encoding="utf-8"?>
<ds:datastoreItem xmlns:ds="http://schemas.openxmlformats.org/officeDocument/2006/customXml" ds:itemID="{011B995C-50A3-4993-BF5A-53DBB3756103}">
  <ds:schemaRefs/>
</ds:datastoreItem>
</file>

<file path=customXml/itemProps12.xml><?xml version="1.0" encoding="utf-8"?>
<ds:datastoreItem xmlns:ds="http://schemas.openxmlformats.org/officeDocument/2006/customXml" ds:itemID="{F70BD23A-6458-4500-A125-AEDB57147C53}">
  <ds:schemaRefs/>
</ds:datastoreItem>
</file>

<file path=customXml/itemProps13.xml><?xml version="1.0" encoding="utf-8"?>
<ds:datastoreItem xmlns:ds="http://schemas.openxmlformats.org/officeDocument/2006/customXml" ds:itemID="{8F01D50D-FB26-455D-B58F-FC1AD8544DA3}">
  <ds:schemaRefs/>
</ds:datastoreItem>
</file>

<file path=customXml/itemProps14.xml><?xml version="1.0" encoding="utf-8"?>
<ds:datastoreItem xmlns:ds="http://schemas.openxmlformats.org/officeDocument/2006/customXml" ds:itemID="{E0A50862-6931-4542-A10C-D064C15480BF}">
  <ds:schemaRefs/>
</ds:datastoreItem>
</file>

<file path=customXml/itemProps15.xml><?xml version="1.0" encoding="utf-8"?>
<ds:datastoreItem xmlns:ds="http://schemas.openxmlformats.org/officeDocument/2006/customXml" ds:itemID="{690A6043-8D7D-4F90-80BF-4EF3906D782B}">
  <ds:schemaRefs/>
</ds:datastoreItem>
</file>

<file path=customXml/itemProps16.xml><?xml version="1.0" encoding="utf-8"?>
<ds:datastoreItem xmlns:ds="http://schemas.openxmlformats.org/officeDocument/2006/customXml" ds:itemID="{CB6D9626-D705-4E94-B4CF-5129639899D7}">
  <ds:schemaRefs/>
</ds:datastoreItem>
</file>

<file path=customXml/itemProps17.xml><?xml version="1.0" encoding="utf-8"?>
<ds:datastoreItem xmlns:ds="http://schemas.openxmlformats.org/officeDocument/2006/customXml" ds:itemID="{B1010E8C-2B50-40D4-8FDF-93CD1F0D9DF6}">
  <ds:schemaRefs/>
</ds:datastoreItem>
</file>

<file path=customXml/itemProps18.xml><?xml version="1.0" encoding="utf-8"?>
<ds:datastoreItem xmlns:ds="http://schemas.openxmlformats.org/officeDocument/2006/customXml" ds:itemID="{CB4AB544-E0FD-40C3-AA3B-EAB2327F7499}">
  <ds:schemaRefs/>
</ds:datastoreItem>
</file>

<file path=customXml/itemProps19.xml><?xml version="1.0" encoding="utf-8"?>
<ds:datastoreItem xmlns:ds="http://schemas.openxmlformats.org/officeDocument/2006/customXml" ds:itemID="{B895EAE3-9CC2-4768-9BA7-E5C31E876F8F}">
  <ds:schemaRefs/>
</ds:datastoreItem>
</file>

<file path=customXml/itemProps2.xml><?xml version="1.0" encoding="utf-8"?>
<ds:datastoreItem xmlns:ds="http://schemas.openxmlformats.org/officeDocument/2006/customXml" ds:itemID="{151A505D-B57C-4EBC-8814-A7709412788E}">
  <ds:schemaRefs/>
</ds:datastoreItem>
</file>

<file path=customXml/itemProps20.xml><?xml version="1.0" encoding="utf-8"?>
<ds:datastoreItem xmlns:ds="http://schemas.openxmlformats.org/officeDocument/2006/customXml" ds:itemID="{A6E588E9-093C-4F15-AF31-10569F0B8D88}">
  <ds:schemaRefs/>
</ds:datastoreItem>
</file>

<file path=customXml/itemProps21.xml><?xml version="1.0" encoding="utf-8"?>
<ds:datastoreItem xmlns:ds="http://schemas.openxmlformats.org/officeDocument/2006/customXml" ds:itemID="{82D16FFE-8F6E-4DDE-AA2F-85FFB7A6EEF3}">
  <ds:schemaRefs/>
</ds:datastoreItem>
</file>

<file path=customXml/itemProps22.xml><?xml version="1.0" encoding="utf-8"?>
<ds:datastoreItem xmlns:ds="http://schemas.openxmlformats.org/officeDocument/2006/customXml" ds:itemID="{8B6F1019-E3A1-4369-AB3B-36F1D8211A60}">
  <ds:schemaRefs/>
</ds:datastoreItem>
</file>

<file path=customXml/itemProps23.xml><?xml version="1.0" encoding="utf-8"?>
<ds:datastoreItem xmlns:ds="http://schemas.openxmlformats.org/officeDocument/2006/customXml" ds:itemID="{77B184B2-B7AD-489C-B7C2-DAE7857C186D}">
  <ds:schemaRefs/>
</ds:datastoreItem>
</file>

<file path=customXml/itemProps24.xml><?xml version="1.0" encoding="utf-8"?>
<ds:datastoreItem xmlns:ds="http://schemas.openxmlformats.org/officeDocument/2006/customXml" ds:itemID="{6EA298DF-A134-47BD-AE65-A16ADFF7630D}">
  <ds:schemaRefs/>
</ds:datastoreItem>
</file>

<file path=customXml/itemProps25.xml><?xml version="1.0" encoding="utf-8"?>
<ds:datastoreItem xmlns:ds="http://schemas.openxmlformats.org/officeDocument/2006/customXml" ds:itemID="{F196AAB7-5CB6-4742-9F90-31AC4ABBD0C7}">
  <ds:schemaRefs/>
</ds:datastoreItem>
</file>

<file path=customXml/itemProps26.xml><?xml version="1.0" encoding="utf-8"?>
<ds:datastoreItem xmlns:ds="http://schemas.openxmlformats.org/officeDocument/2006/customXml" ds:itemID="{A9F2E821-2E1D-482E-AA31-E466A02925B7}">
  <ds:schemaRefs/>
</ds:datastoreItem>
</file>

<file path=customXml/itemProps27.xml><?xml version="1.0" encoding="utf-8"?>
<ds:datastoreItem xmlns:ds="http://schemas.openxmlformats.org/officeDocument/2006/customXml" ds:itemID="{D4DEADA2-3870-496F-B8A3-C30811DBB347}">
  <ds:schemaRefs/>
</ds:datastoreItem>
</file>

<file path=customXml/itemProps28.xml><?xml version="1.0" encoding="utf-8"?>
<ds:datastoreItem xmlns:ds="http://schemas.openxmlformats.org/officeDocument/2006/customXml" ds:itemID="{47B5F029-F0FE-4338-BC6F-01BD9BEEDF90}">
  <ds:schemaRefs/>
</ds:datastoreItem>
</file>

<file path=customXml/itemProps29.xml><?xml version="1.0" encoding="utf-8"?>
<ds:datastoreItem xmlns:ds="http://schemas.openxmlformats.org/officeDocument/2006/customXml" ds:itemID="{A34556FE-EC53-406B-8AB2-0A54B950F762}">
  <ds:schemaRefs/>
</ds:datastoreItem>
</file>

<file path=customXml/itemProps3.xml><?xml version="1.0" encoding="utf-8"?>
<ds:datastoreItem xmlns:ds="http://schemas.openxmlformats.org/officeDocument/2006/customXml" ds:itemID="{DEF6529E-1AC8-4F90-9112-300504232E7A}">
  <ds:schemaRefs/>
</ds:datastoreItem>
</file>

<file path=customXml/itemProps30.xml><?xml version="1.0" encoding="utf-8"?>
<ds:datastoreItem xmlns:ds="http://schemas.openxmlformats.org/officeDocument/2006/customXml" ds:itemID="{E661F4F0-8697-4033-AFC2-11375C3B7130}">
  <ds:schemaRefs/>
</ds:datastoreItem>
</file>

<file path=customXml/itemProps31.xml><?xml version="1.0" encoding="utf-8"?>
<ds:datastoreItem xmlns:ds="http://schemas.openxmlformats.org/officeDocument/2006/customXml" ds:itemID="{1825D8D5-2909-4898-807F-E8F3842959A9}">
  <ds:schemaRefs/>
</ds:datastoreItem>
</file>

<file path=customXml/itemProps4.xml><?xml version="1.0" encoding="utf-8"?>
<ds:datastoreItem xmlns:ds="http://schemas.openxmlformats.org/officeDocument/2006/customXml" ds:itemID="{72D01112-6D6D-4794-824E-EE3705DA759A}">
  <ds:schemaRefs/>
</ds:datastoreItem>
</file>

<file path=customXml/itemProps5.xml><?xml version="1.0" encoding="utf-8"?>
<ds:datastoreItem xmlns:ds="http://schemas.openxmlformats.org/officeDocument/2006/customXml" ds:itemID="{E8F5E88C-BEF4-4D1C-B340-A39A5BAD0440}">
  <ds:schemaRefs/>
</ds:datastoreItem>
</file>

<file path=customXml/itemProps6.xml><?xml version="1.0" encoding="utf-8"?>
<ds:datastoreItem xmlns:ds="http://schemas.openxmlformats.org/officeDocument/2006/customXml" ds:itemID="{810811BA-EAD5-4D61-ABBA-F89884499CCA}">
  <ds:schemaRefs/>
</ds:datastoreItem>
</file>

<file path=customXml/itemProps7.xml><?xml version="1.0" encoding="utf-8"?>
<ds:datastoreItem xmlns:ds="http://schemas.openxmlformats.org/officeDocument/2006/customXml" ds:itemID="{7808E206-FD7E-4A35-98B1-F73C747B04FD}">
  <ds:schemaRefs/>
</ds:datastoreItem>
</file>

<file path=customXml/itemProps8.xml><?xml version="1.0" encoding="utf-8"?>
<ds:datastoreItem xmlns:ds="http://schemas.openxmlformats.org/officeDocument/2006/customXml" ds:itemID="{87806EB9-0EFA-4DAA-8CCF-E8866FA13615}">
  <ds:schemaRefs/>
</ds:datastoreItem>
</file>

<file path=customXml/itemProps9.xml><?xml version="1.0" encoding="utf-8"?>
<ds:datastoreItem xmlns:ds="http://schemas.openxmlformats.org/officeDocument/2006/customXml" ds:itemID="{9D66D4EA-AE9E-4AD0-A9A1-84C8F8FBC3A2}">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3636</Words>
  <Characters>20728</Characters>
  <Lines>172</Lines>
  <Paragraphs>48</Paragraphs>
  <TotalTime>52</TotalTime>
  <ScaleCrop>false</ScaleCrop>
  <LinksUpToDate>false</LinksUpToDate>
  <CharactersWithSpaces>24316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2023-02-02T14:43:00Z</dcterms:created>
  <dc:creator>admin</dc:creator>
  <cp:lastModifiedBy>admin</cp:lastModifiedBy>
  <dcterms:modified xsi:type="dcterms:W3CDTF">2023-02-04T10:02:42Z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